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43" w:rsidRPr="00B46DDF" w:rsidRDefault="00697943" w:rsidP="00697943">
      <w:pPr>
        <w:pBdr>
          <w:bottom w:val="none" w:sz="0" w:space="0" w:color="auto"/>
        </w:pBdr>
        <w:jc w:val="center"/>
        <w:rPr>
          <w:b/>
        </w:rPr>
      </w:pPr>
      <w:r w:rsidRPr="00B46DDF">
        <w:rPr>
          <w:b/>
        </w:rPr>
        <w:t xml:space="preserve">ANEXO </w:t>
      </w:r>
      <w:proofErr w:type="gramStart"/>
      <w:r w:rsidRPr="00B46DDF">
        <w:rPr>
          <w:b/>
        </w:rPr>
        <w:t>1</w:t>
      </w:r>
      <w:proofErr w:type="gramEnd"/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494030</wp:posOffset>
            </wp:positionV>
            <wp:extent cx="6260465" cy="8298815"/>
            <wp:effectExtent l="38100" t="19050" r="26035" b="26035"/>
            <wp:wrapTopAndBottom/>
            <wp:docPr id="2" name="Imagem 2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8298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943" w:rsidRDefault="00697943" w:rsidP="00697943">
      <w:pPr>
        <w:pBdr>
          <w:bottom w:val="none" w:sz="0" w:space="0" w:color="auto"/>
        </w:pBdr>
        <w:jc w:val="center"/>
      </w:pPr>
    </w:p>
    <w:p w:rsidR="00697943" w:rsidRPr="00B46DDF" w:rsidRDefault="00697943" w:rsidP="00697943">
      <w:pPr>
        <w:pBdr>
          <w:bottom w:val="none" w:sz="0" w:space="0" w:color="auto"/>
        </w:pBdr>
        <w:jc w:val="center"/>
        <w:rPr>
          <w:b/>
        </w:rPr>
      </w:pPr>
      <w:r>
        <w:rPr>
          <w:b/>
        </w:rPr>
        <w:t xml:space="preserve">ANEXO </w:t>
      </w:r>
      <w:proofErr w:type="gramStart"/>
      <w:r>
        <w:rPr>
          <w:b/>
        </w:rPr>
        <w:t>2</w:t>
      </w:r>
      <w:proofErr w:type="gramEnd"/>
    </w:p>
    <w:p w:rsidR="00697943" w:rsidRDefault="00697943" w:rsidP="00697943">
      <w:pPr>
        <w:pBdr>
          <w:bottom w:val="none" w:sz="0" w:space="0" w:color="auto"/>
        </w:pBdr>
      </w:pPr>
    </w:p>
    <w:p w:rsidR="00697943" w:rsidRDefault="00697943" w:rsidP="00697943">
      <w:pPr>
        <w:pBdr>
          <w:bottom w:val="none" w:sz="0" w:space="0" w:color="auto"/>
        </w:pBdr>
      </w:pPr>
      <w:r>
        <w:rPr>
          <w:noProof/>
        </w:rPr>
        <w:drawing>
          <wp:inline distT="0" distB="0" distL="0" distR="0">
            <wp:extent cx="6254750" cy="7899400"/>
            <wp:effectExtent l="19050" t="0" r="0" b="0"/>
            <wp:docPr id="1" name="Imagem 1" descr="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789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43" w:rsidRDefault="00697943" w:rsidP="00697943">
      <w:pPr>
        <w:pBdr>
          <w:bottom w:val="none" w:sz="0" w:space="0" w:color="auto"/>
        </w:pBdr>
        <w:rPr>
          <w:b/>
        </w:rPr>
      </w:pPr>
      <w:r w:rsidRPr="00B46DDF">
        <w:rPr>
          <w:b/>
        </w:rPr>
        <w:lastRenderedPageBreak/>
        <w:t xml:space="preserve">REFERÊNCIAS </w:t>
      </w:r>
    </w:p>
    <w:p w:rsidR="00697943" w:rsidRDefault="00697943" w:rsidP="00697943">
      <w:pPr>
        <w:pBdr>
          <w:bottom w:val="none" w:sz="0" w:space="0" w:color="auto"/>
        </w:pBdr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>ALBERTI, Verena. Fontes Orais. Histórias dentro da História. In:</w:t>
      </w:r>
      <w:r w:rsidRPr="004373FC">
        <w:rPr>
          <w:b/>
        </w:rPr>
        <w:t xml:space="preserve"> Fontes Históricas.</w:t>
      </w:r>
      <w:r w:rsidRPr="004373FC">
        <w:t xml:space="preserve"> PINSKY, Carla Bassanezi (org.).</w:t>
      </w:r>
      <w:r w:rsidRPr="004373FC">
        <w:rPr>
          <w:b/>
        </w:rPr>
        <w:t xml:space="preserve"> </w:t>
      </w:r>
      <w:r w:rsidRPr="004373FC">
        <w:t>2ª ed. São Pa</w:t>
      </w:r>
      <w:r>
        <w:t>ulo. Ed. Contexto. 2010.</w:t>
      </w:r>
    </w:p>
    <w:p w:rsidR="00697943" w:rsidRDefault="00697943" w:rsidP="00697943">
      <w:pPr>
        <w:pBdr>
          <w:bottom w:val="none" w:sz="0" w:space="0" w:color="auto"/>
        </w:pBdr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>ARARIPE, Fátima Maria Alencar. Do patrimônio cultural e seus significados. In:</w:t>
      </w:r>
      <w:r w:rsidRPr="004373FC">
        <w:rPr>
          <w:b/>
        </w:rPr>
        <w:t xml:space="preserve"> Transinformação</w:t>
      </w:r>
      <w:r w:rsidRPr="004373FC">
        <w:t>, Campinas, 2004. 16(2): pp. 111-112 maio/ago.</w:t>
      </w:r>
    </w:p>
    <w:p w:rsidR="00697943" w:rsidRDefault="00697943" w:rsidP="00697943">
      <w:pPr>
        <w:pBdr>
          <w:bottom w:val="none" w:sz="0" w:space="0" w:color="auto"/>
        </w:pBdr>
      </w:pPr>
    </w:p>
    <w:p w:rsidR="00697943" w:rsidRPr="00BE51D4" w:rsidRDefault="00697943" w:rsidP="00697943">
      <w:pPr>
        <w:pBdr>
          <w:bottom w:val="none" w:sz="0" w:space="0" w:color="auto"/>
        </w:pBdr>
        <w:spacing w:line="240" w:lineRule="auto"/>
        <w:rPr>
          <w:rFonts w:eastAsia="Calibri"/>
        </w:rPr>
      </w:pPr>
      <w:r w:rsidRPr="004373FC">
        <w:t xml:space="preserve">BOURDIEU, Pierre. PASSERON, Jean-Claude. </w:t>
      </w:r>
      <w:r w:rsidRPr="004373FC">
        <w:rPr>
          <w:b/>
        </w:rPr>
        <w:t xml:space="preserve">A reprodução. Elementos para uma teoria do sistema de ensino. </w:t>
      </w:r>
      <w:r w:rsidRPr="004373FC">
        <w:t>Lisboa, 1970.</w:t>
      </w:r>
    </w:p>
    <w:p w:rsidR="00697943" w:rsidRDefault="00697943" w:rsidP="00697943">
      <w:pPr>
        <w:pBdr>
          <w:bottom w:val="none" w:sz="0" w:space="0" w:color="auto"/>
        </w:pBdr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>
        <w:t>BRASIL.</w:t>
      </w:r>
      <w:r w:rsidRPr="00330D0F">
        <w:t xml:space="preserve"> </w:t>
      </w:r>
      <w:r w:rsidRPr="004373FC">
        <w:t>Decreto-lei nº 88/1938.</w:t>
      </w:r>
    </w:p>
    <w:p w:rsidR="00697943" w:rsidRDefault="00697943" w:rsidP="00697943">
      <w:pPr>
        <w:pBdr>
          <w:bottom w:val="none" w:sz="0" w:space="0" w:color="auto"/>
        </w:pBdr>
      </w:pPr>
    </w:p>
    <w:p w:rsidR="00697943" w:rsidRDefault="00697943" w:rsidP="00697943">
      <w:pPr>
        <w:pStyle w:val="SemEspaamento"/>
        <w:jc w:val="both"/>
      </w:pPr>
      <w:r>
        <w:t>________</w:t>
      </w:r>
      <w:r w:rsidRPr="00E45105">
        <w:t xml:space="preserve"> </w:t>
      </w:r>
      <w:r w:rsidRPr="004373FC">
        <w:t>Constituição Federal de 1891, artigo 11</w:t>
      </w:r>
      <w:r>
        <w:t xml:space="preserve">. </w:t>
      </w:r>
    </w:p>
    <w:p w:rsidR="00697943" w:rsidRDefault="00697943" w:rsidP="00697943">
      <w:pPr>
        <w:pStyle w:val="SemEspaamento"/>
        <w:jc w:val="both"/>
      </w:pPr>
    </w:p>
    <w:p w:rsidR="00697943" w:rsidRDefault="00697943" w:rsidP="00697943">
      <w:pPr>
        <w:pStyle w:val="SemEspaamento"/>
        <w:jc w:val="both"/>
      </w:pPr>
    </w:p>
    <w:p w:rsidR="00697943" w:rsidRDefault="00697943" w:rsidP="00697943">
      <w:pPr>
        <w:pStyle w:val="SemEspaamento"/>
        <w:jc w:val="both"/>
      </w:pPr>
      <w:r w:rsidRPr="004373FC">
        <w:t xml:space="preserve"> </w:t>
      </w:r>
      <w:r>
        <w:t xml:space="preserve">________ </w:t>
      </w:r>
      <w:r w:rsidRPr="004373FC">
        <w:t xml:space="preserve">Lei de Diretrizes e Bases da Educação Brasileira - Lei 4.024 de 20 de dezembro de 1961. </w:t>
      </w:r>
    </w:p>
    <w:p w:rsidR="00697943" w:rsidRDefault="00697943" w:rsidP="00697943">
      <w:pPr>
        <w:pStyle w:val="SemEspaamento"/>
        <w:jc w:val="both"/>
      </w:pPr>
    </w:p>
    <w:p w:rsidR="00697943" w:rsidRDefault="00697943" w:rsidP="00697943">
      <w:pPr>
        <w:pStyle w:val="SemEspaamento"/>
        <w:jc w:val="both"/>
      </w:pPr>
    </w:p>
    <w:p w:rsidR="00697943" w:rsidRPr="00715D07" w:rsidRDefault="00697943" w:rsidP="00697943">
      <w:pPr>
        <w:pStyle w:val="SemEspaamento"/>
        <w:jc w:val="both"/>
      </w:pPr>
      <w:r>
        <w:t>________</w:t>
      </w:r>
      <w:r w:rsidRPr="004373FC">
        <w:t>Lei de Diretrizes e Bases da Educação Brasileira – Lei 5.692 de 11 de agosto de 1971.</w:t>
      </w:r>
    </w:p>
    <w:p w:rsidR="00697943" w:rsidRPr="00B46DDF" w:rsidRDefault="00697943" w:rsidP="00697943">
      <w:pPr>
        <w:pBdr>
          <w:bottom w:val="none" w:sz="0" w:space="0" w:color="auto"/>
        </w:pBdr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  <w:r w:rsidRPr="004373FC">
        <w:rPr>
          <w:color w:val="000000"/>
        </w:rPr>
        <w:t xml:space="preserve">CHAMMA, Guisela Frey. </w:t>
      </w:r>
      <w:r w:rsidRPr="004373FC">
        <w:rPr>
          <w:b/>
        </w:rPr>
        <w:t xml:space="preserve">História de Ponta Grossa. </w:t>
      </w:r>
      <w:r w:rsidRPr="004373FC">
        <w:t>Ponta Grossa, UEPG, 1975</w:t>
      </w:r>
      <w:r>
        <w:t>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b/>
          <w:iCs/>
          <w:color w:val="000000"/>
        </w:rPr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  <w:r>
        <w:rPr>
          <w:iCs/>
          <w:color w:val="000000"/>
        </w:rPr>
        <w:t>____________________</w:t>
      </w:r>
      <w:r>
        <w:rPr>
          <w:b/>
          <w:iCs/>
          <w:color w:val="000000"/>
        </w:rPr>
        <w:t xml:space="preserve"> </w:t>
      </w:r>
      <w:r w:rsidRPr="004373FC">
        <w:rPr>
          <w:b/>
          <w:iCs/>
          <w:color w:val="000000"/>
        </w:rPr>
        <w:t>Ponta Grossa</w:t>
      </w:r>
      <w:r w:rsidRPr="004373FC">
        <w:rPr>
          <w:b/>
          <w:color w:val="000000"/>
        </w:rPr>
        <w:t>: o povo, a cidade e o poder</w:t>
      </w:r>
      <w:r w:rsidRPr="004373FC">
        <w:rPr>
          <w:color w:val="000000"/>
        </w:rPr>
        <w:t>.</w:t>
      </w:r>
      <w:r>
        <w:rPr>
          <w:color w:val="000000"/>
        </w:rPr>
        <w:t xml:space="preserve"> Ponta Grossa: PMPG, 1988</w:t>
      </w:r>
      <w:r w:rsidRPr="004373FC">
        <w:rPr>
          <w:color w:val="000000"/>
        </w:rPr>
        <w:t>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</w:p>
    <w:p w:rsidR="00697943" w:rsidRDefault="00697943" w:rsidP="00697943">
      <w:pPr>
        <w:pBdr>
          <w:bottom w:val="none" w:sz="0" w:space="0" w:color="auto"/>
        </w:pBdr>
        <w:autoSpaceDE w:val="0"/>
        <w:autoSpaceDN w:val="0"/>
        <w:adjustRightInd w:val="0"/>
        <w:spacing w:line="240" w:lineRule="auto"/>
      </w:pPr>
      <w:r w:rsidRPr="004373FC">
        <w:t xml:space="preserve">CHARTIER, Anne-Marie. Escola, culturas e saberes. In: XAVIER, Libânia Nacif; CARVALHO, Marta Maria Chagas de; MENDONÇA, Ana Waleska; CUNHA, Jorge Luiz. </w:t>
      </w:r>
      <w:r w:rsidRPr="004373FC">
        <w:rPr>
          <w:b/>
          <w:bCs/>
        </w:rPr>
        <w:t>Escola, Cultura e Saberes Escolares</w:t>
      </w:r>
      <w:r w:rsidRPr="004373FC">
        <w:t>. Ed. FGV, Rio de Janeiro, 2005.</w:t>
      </w:r>
    </w:p>
    <w:p w:rsidR="00697943" w:rsidRDefault="00697943" w:rsidP="00697943">
      <w:pPr>
        <w:pBdr>
          <w:bottom w:val="none" w:sz="0" w:space="0" w:color="auto"/>
        </w:pBdr>
        <w:autoSpaceDE w:val="0"/>
        <w:autoSpaceDN w:val="0"/>
        <w:adjustRightInd w:val="0"/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autoSpaceDE w:val="0"/>
        <w:autoSpaceDN w:val="0"/>
        <w:adjustRightInd w:val="0"/>
        <w:spacing w:line="240" w:lineRule="auto"/>
      </w:pPr>
    </w:p>
    <w:p w:rsidR="00697943" w:rsidRPr="004373FC" w:rsidRDefault="00697943" w:rsidP="00697943">
      <w:pPr>
        <w:pStyle w:val="SemEspaamento"/>
        <w:jc w:val="both"/>
        <w:rPr>
          <w:color w:val="000000"/>
        </w:rPr>
      </w:pPr>
      <w:r w:rsidRPr="004373FC">
        <w:rPr>
          <w:rFonts w:eastAsia="Calibri"/>
        </w:rPr>
        <w:t xml:space="preserve">CHERVEL, </w:t>
      </w:r>
      <w:r>
        <w:rPr>
          <w:rFonts w:eastAsia="Calibri"/>
        </w:rPr>
        <w:t>André</w:t>
      </w:r>
      <w:r w:rsidRPr="004373FC">
        <w:rPr>
          <w:rFonts w:eastAsia="Calibri"/>
        </w:rPr>
        <w:t xml:space="preserve">. A história das disciplinas escolares: reflexões sobre um campo de pesquisa. </w:t>
      </w:r>
      <w:r w:rsidRPr="004373FC">
        <w:rPr>
          <w:rFonts w:eastAsia="Calibri"/>
          <w:b/>
          <w:i/>
          <w:iCs/>
        </w:rPr>
        <w:t>Teoria &amp; Educação</w:t>
      </w:r>
      <w:r w:rsidRPr="004373FC">
        <w:rPr>
          <w:rFonts w:eastAsia="Calibri"/>
          <w:i/>
          <w:iCs/>
        </w:rPr>
        <w:t xml:space="preserve">, </w:t>
      </w:r>
      <w:r w:rsidRPr="004373FC">
        <w:rPr>
          <w:rFonts w:eastAsia="Calibri"/>
        </w:rPr>
        <w:t>Porto Alegre, v.2, p.177-229, 1990.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  <w:rPr>
          <w:rFonts w:eastAsia="Calibri"/>
        </w:rPr>
      </w:pPr>
      <w:r w:rsidRPr="004373FC">
        <w:rPr>
          <w:rFonts w:eastAsia="Calibri"/>
        </w:rPr>
        <w:t xml:space="preserve">CHESNEAUX, Jean. </w:t>
      </w:r>
      <w:r w:rsidRPr="004373FC">
        <w:rPr>
          <w:rFonts w:eastAsia="Calibri"/>
          <w:b/>
        </w:rPr>
        <w:t>Modernidade-mundo: brave modern world</w:t>
      </w:r>
      <w:r>
        <w:rPr>
          <w:rFonts w:eastAsia="Calibri"/>
        </w:rPr>
        <w:t>. Petrópolis: Vozes, 1995</w:t>
      </w:r>
      <w:r w:rsidRPr="004373FC">
        <w:rPr>
          <w:rFonts w:eastAsia="Calibri"/>
        </w:rPr>
        <w:t>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697943" w:rsidRDefault="00697943" w:rsidP="00697943">
      <w:pPr>
        <w:pBdr>
          <w:bottom w:val="none" w:sz="0" w:space="0" w:color="auto"/>
        </w:pBdr>
        <w:spacing w:line="240" w:lineRule="auto"/>
      </w:pPr>
      <w:r w:rsidRPr="00697943">
        <w:t>DARNTON, Robert. http://revistacult.uol.com.br/home/2012/05/o-historiador-robert-darnton-fala-sobre-o-futuro-do-livro/</w:t>
      </w:r>
    </w:p>
    <w:p w:rsidR="00697943" w:rsidRP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  <w:r w:rsidRPr="004373FC">
        <w:lastRenderedPageBreak/>
        <w:t xml:space="preserve">HOLZMANN, Epaminondas. </w:t>
      </w:r>
      <w:r w:rsidRPr="004373FC">
        <w:rPr>
          <w:b/>
        </w:rPr>
        <w:t>Cinco histórias Convergentes</w:t>
      </w:r>
      <w:r w:rsidRPr="004373FC">
        <w:t>. Ponta Grossa, UEPG, 2ª ed. 2004, p. 71. 20.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110D78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  <w:r w:rsidRPr="004373FC">
        <w:t>IBGE, Séries Estatísticas Retrospectivas, 1970; IBGE, Estatísticas da Educação Nacional, 1960-1971; INEP/MEC, Revista Brasileira de Estudos Pedagógicos, n. 101.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 xml:space="preserve">JULIA, </w:t>
      </w:r>
      <w:r w:rsidRPr="004373FC">
        <w:rPr>
          <w:rFonts w:eastAsia="Calibri"/>
          <w:iCs/>
        </w:rPr>
        <w:t>Dominique.</w:t>
      </w:r>
      <w:r w:rsidRPr="004373FC">
        <w:rPr>
          <w:rFonts w:eastAsia="Calibri"/>
        </w:rPr>
        <w:t xml:space="preserve"> A cultura escolar como objeto histórico. In: </w:t>
      </w:r>
      <w:r w:rsidRPr="004373FC">
        <w:rPr>
          <w:rFonts w:eastAsia="Calibri"/>
          <w:b/>
        </w:rPr>
        <w:t>Revista Brasileira de História da Educação.</w:t>
      </w:r>
      <w:r w:rsidRPr="004373FC">
        <w:rPr>
          <w:rFonts w:eastAsia="Calibri"/>
        </w:rPr>
        <w:t xml:space="preserve"> Campinas,</w:t>
      </w:r>
      <w:r w:rsidRPr="004373FC">
        <w:rPr>
          <w:rFonts w:eastAsia="Calibri"/>
          <w:b/>
        </w:rPr>
        <w:t xml:space="preserve"> </w:t>
      </w:r>
      <w:r w:rsidRPr="004373FC">
        <w:rPr>
          <w:rFonts w:eastAsia="Calibri"/>
        </w:rPr>
        <w:t>Editora Autores Associados, 2001, nº</w:t>
      </w:r>
      <w:r w:rsidRPr="004373FC">
        <w:rPr>
          <w:rFonts w:eastAsia="Calibri"/>
          <w:b/>
        </w:rPr>
        <w:t xml:space="preserve"> </w:t>
      </w:r>
      <w:r w:rsidRPr="004373FC">
        <w:rPr>
          <w:rFonts w:eastAsia="Calibri"/>
        </w:rPr>
        <w:t>1º, p. 9-43.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 xml:space="preserve">MARTINS. Carlos B. </w:t>
      </w:r>
      <w:r w:rsidRPr="004373FC">
        <w:rPr>
          <w:b/>
        </w:rPr>
        <w:t xml:space="preserve">Sociologia da Educação. </w:t>
      </w:r>
      <w:r w:rsidRPr="004373FC">
        <w:t>Brasília. Ed. Brasiliense, 1995</w:t>
      </w:r>
      <w:r>
        <w:t>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 xml:space="preserve">MENDONÇA, M. R. S. Análise linguística no ensino médio: um novo olhar, </w:t>
      </w:r>
      <w:proofErr w:type="gramStart"/>
      <w:r w:rsidRPr="004373FC">
        <w:t>um outro</w:t>
      </w:r>
      <w:proofErr w:type="gramEnd"/>
      <w:r w:rsidRPr="004373FC">
        <w:t xml:space="preserve"> objeto. In: BUNZEN, M.; MENDONÇA, C. (Orgs.). </w:t>
      </w:r>
      <w:r w:rsidRPr="004373FC">
        <w:rPr>
          <w:b/>
        </w:rPr>
        <w:t>Português no ensino médio e formação do professor.</w:t>
      </w:r>
      <w:r w:rsidRPr="004373FC">
        <w:t xml:space="preserve"> São Paulo: Parábola, 2006 a.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 xml:space="preserve">OLIVEIRA, José Palazzo Moreira de. </w:t>
      </w:r>
      <w:r w:rsidRPr="004373FC">
        <w:rPr>
          <w:b/>
        </w:rPr>
        <w:t>Sistemas de Informação e Sociedade</w:t>
      </w:r>
      <w:r w:rsidRPr="004373FC">
        <w:t xml:space="preserve">. Revista Ciência e Cultura, v.55, n.2, p. 39-41, abr.-jun. 2003. 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  <w:rPr>
          <w:rFonts w:eastAsia="Calibri"/>
        </w:rPr>
      </w:pPr>
      <w:r w:rsidRPr="004373FC">
        <w:rPr>
          <w:rFonts w:eastAsia="Calibri"/>
        </w:rPr>
        <w:t xml:space="preserve">PINTO, Elisabete Alves. GONÇALVES, Maria Aparecida C. </w:t>
      </w:r>
      <w:r w:rsidRPr="004373FC">
        <w:rPr>
          <w:b/>
        </w:rPr>
        <w:t>Ponta Grossa – Um século de vida (1823-1923)</w:t>
      </w:r>
      <w:r w:rsidRPr="004373FC">
        <w:t>. Ponta Grossa, Kugler Artes Gráficas L</w:t>
      </w:r>
      <w:r>
        <w:t>tda, 1983</w:t>
      </w:r>
      <w:r w:rsidRPr="004373FC">
        <w:t>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 w:rsidRPr="004373FC">
        <w:t xml:space="preserve">POLLACK, Michael. </w:t>
      </w:r>
      <w:r w:rsidRPr="004373FC">
        <w:rPr>
          <w:b/>
        </w:rPr>
        <w:t xml:space="preserve">Memória e identidade social. </w:t>
      </w:r>
      <w:r w:rsidRPr="004373FC">
        <w:t>Revista Estudos Históricos. Rio de Janeiro, vol. 5, nº 10, 1992, p. 200-212.</w:t>
      </w:r>
    </w:p>
    <w:p w:rsidR="00697943" w:rsidRDefault="00697943" w:rsidP="00697943">
      <w:pPr>
        <w:pBdr>
          <w:bottom w:val="none" w:sz="0" w:space="0" w:color="auto"/>
        </w:pBdr>
        <w:spacing w:line="240" w:lineRule="auto"/>
      </w:pPr>
    </w:p>
    <w:p w:rsidR="00697943" w:rsidRDefault="00697943" w:rsidP="00697943">
      <w:pPr>
        <w:pBdr>
          <w:bottom w:val="none" w:sz="0" w:space="0" w:color="auto"/>
        </w:pBdr>
        <w:spacing w:line="240" w:lineRule="auto"/>
        <w:rPr>
          <w:color w:val="000000"/>
        </w:rPr>
      </w:pPr>
    </w:p>
    <w:p w:rsidR="00697943" w:rsidRPr="004373FC" w:rsidRDefault="00697943" w:rsidP="00697943">
      <w:pPr>
        <w:pBdr>
          <w:bottom w:val="none" w:sz="0" w:space="0" w:color="auto"/>
        </w:pBdr>
        <w:spacing w:line="240" w:lineRule="auto"/>
      </w:pPr>
      <w:r>
        <w:rPr>
          <w:color w:val="000000"/>
        </w:rPr>
        <w:t xml:space="preserve">PONTA GROSSA. Prefeitura Municipal. </w:t>
      </w:r>
      <w:r w:rsidRPr="004373FC">
        <w:rPr>
          <w:color w:val="000000"/>
        </w:rPr>
        <w:t xml:space="preserve">Decreto nº 339/1968. </w:t>
      </w:r>
    </w:p>
    <w:p w:rsidR="00DD7BB1" w:rsidRDefault="00DD7BB1" w:rsidP="00697943">
      <w:pPr>
        <w:pBdr>
          <w:bottom w:val="none" w:sz="0" w:space="0" w:color="auto"/>
        </w:pBdr>
      </w:pPr>
    </w:p>
    <w:sectPr w:rsidR="00DD7BB1" w:rsidSect="00F5043A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97943"/>
    <w:rsid w:val="002F41D2"/>
    <w:rsid w:val="00697943"/>
    <w:rsid w:val="00DD7BB1"/>
    <w:rsid w:val="00F5043A"/>
    <w:rsid w:val="00FC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943"/>
    <w:pPr>
      <w:pBdr>
        <w:bottom w:val="single" w:sz="12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979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9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94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1</cp:revision>
  <dcterms:created xsi:type="dcterms:W3CDTF">2012-10-05T01:38:00Z</dcterms:created>
  <dcterms:modified xsi:type="dcterms:W3CDTF">2012-10-05T01:43:00Z</dcterms:modified>
</cp:coreProperties>
</file>