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68" w:rsidRPr="00521017" w:rsidRDefault="00383F68" w:rsidP="00521017">
      <w:pPr>
        <w:tabs>
          <w:tab w:val="left" w:pos="720"/>
        </w:tabs>
        <w:suppressAutoHyphens/>
        <w:jc w:val="center"/>
        <w:rPr>
          <w:rFonts w:ascii="Arial" w:hAnsi="Arial" w:cs="Arial"/>
          <w:b/>
          <w:bCs/>
        </w:rPr>
      </w:pPr>
      <w:r w:rsidRPr="00521017">
        <w:rPr>
          <w:rFonts w:ascii="Arial" w:hAnsi="Arial" w:cs="Arial"/>
          <w:b/>
          <w:bCs/>
        </w:rPr>
        <w:t>O APARATO DE SEGURANÇA PÚBLICA: ENTRE A CONSTITUIÇÃO E A “ORDEM”</w:t>
      </w:r>
    </w:p>
    <w:p w:rsidR="00383F68" w:rsidRPr="00521017" w:rsidRDefault="00383F68" w:rsidP="00521017">
      <w:pPr>
        <w:ind w:firstLine="851"/>
        <w:jc w:val="right"/>
        <w:rPr>
          <w:rFonts w:ascii="Arial" w:hAnsi="Arial" w:cs="Arial"/>
        </w:rPr>
      </w:pPr>
      <w:r w:rsidRPr="00521017">
        <w:rPr>
          <w:rFonts w:ascii="Arial" w:hAnsi="Arial" w:cs="Arial"/>
        </w:rPr>
        <w:t>Diego Nogueira</w:t>
      </w:r>
      <w:r w:rsidRPr="00521017">
        <w:rPr>
          <w:rStyle w:val="Refdenotaderodap"/>
          <w:rFonts w:ascii="Arial" w:hAnsi="Arial" w:cs="Arial"/>
        </w:rPr>
        <w:footnoteReference w:id="1"/>
      </w:r>
    </w:p>
    <w:p w:rsidR="00383F68" w:rsidRPr="00521017" w:rsidRDefault="00383F68" w:rsidP="00521017">
      <w:pPr>
        <w:jc w:val="both"/>
        <w:rPr>
          <w:rFonts w:ascii="Arial" w:hAnsi="Arial" w:cs="Arial"/>
        </w:rPr>
      </w:pPr>
    </w:p>
    <w:p w:rsidR="001F749F" w:rsidRPr="00521017" w:rsidRDefault="00A621FB" w:rsidP="00521017">
      <w:pPr>
        <w:jc w:val="both"/>
        <w:rPr>
          <w:rFonts w:ascii="Arial" w:hAnsi="Arial" w:cs="Arial"/>
          <w:i/>
        </w:rPr>
      </w:pPr>
      <w:r w:rsidRPr="00521017">
        <w:rPr>
          <w:rFonts w:ascii="Arial" w:hAnsi="Arial" w:cs="Arial"/>
          <w:b/>
        </w:rPr>
        <w:t>Palavras-chave</w:t>
      </w:r>
      <w:r w:rsidR="001F749F" w:rsidRPr="00521017">
        <w:rPr>
          <w:rFonts w:ascii="Arial" w:hAnsi="Arial" w:cs="Arial"/>
          <w:b/>
        </w:rPr>
        <w:t>:</w:t>
      </w:r>
      <w:r w:rsidR="001F749F" w:rsidRPr="00521017">
        <w:rPr>
          <w:rFonts w:ascii="Arial" w:hAnsi="Arial" w:cs="Arial"/>
        </w:rPr>
        <w:t xml:space="preserve"> </w:t>
      </w:r>
      <w:r w:rsidR="001F749F" w:rsidRPr="00521017">
        <w:rPr>
          <w:rFonts w:ascii="Arial" w:hAnsi="Arial" w:cs="Arial"/>
          <w:i/>
        </w:rPr>
        <w:t>ordem pública, polícias militares, políticas públicas de segurança, desmilitarização.</w:t>
      </w:r>
    </w:p>
    <w:p w:rsidR="001F749F" w:rsidRPr="00521017" w:rsidRDefault="001F749F" w:rsidP="00521017">
      <w:pPr>
        <w:ind w:firstLine="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 xml:space="preserve">O tema da violência, a despeito de recente para as ciências sociais brasileiras, já acumulou um apreciável acervo de informações, resultados de pesquisas, perspectivas teórico-metodológicas e, inclusive, acirradas polêmicas e debates. </w:t>
      </w:r>
    </w:p>
    <w:p w:rsidR="00383F68" w:rsidRPr="00521017" w:rsidRDefault="00383F68" w:rsidP="00521017">
      <w:pPr>
        <w:ind w:firstLine="851"/>
        <w:jc w:val="both"/>
        <w:rPr>
          <w:rFonts w:ascii="Arial" w:hAnsi="Arial" w:cs="Arial"/>
        </w:rPr>
      </w:pPr>
      <w:r w:rsidRPr="00521017">
        <w:rPr>
          <w:rFonts w:ascii="Arial" w:hAnsi="Arial" w:cs="Arial"/>
        </w:rPr>
        <w:t xml:space="preserve">Trata-se de um problema social que, por um lado, promove ampla mobilização da opinião pública, o que se pode observar através das sondagens de opinião, da insistente atenção que lhe é conferida pela mídia impressa e eletrônica e da multiplicação de fóruns locais, regionais e nacionais; por outro lado, vem promovendo impacto sobre o sistema de justiça criminal, influenciando a formulação e implementação de políticas públicas </w:t>
      </w:r>
      <w:proofErr w:type="gramStart"/>
      <w:r w:rsidRPr="00521017">
        <w:rPr>
          <w:rFonts w:ascii="Arial" w:hAnsi="Arial" w:cs="Arial"/>
        </w:rPr>
        <w:t>de</w:t>
      </w:r>
      <w:proofErr w:type="gramEnd"/>
      <w:r w:rsidRPr="00521017">
        <w:rPr>
          <w:rFonts w:ascii="Arial" w:hAnsi="Arial" w:cs="Arial"/>
        </w:rPr>
        <w:t xml:space="preserve"> </w:t>
      </w:r>
      <w:proofErr w:type="gramStart"/>
      <w:r w:rsidRPr="00521017">
        <w:rPr>
          <w:rFonts w:ascii="Arial" w:hAnsi="Arial" w:cs="Arial"/>
        </w:rPr>
        <w:t>segurança</w:t>
      </w:r>
      <w:proofErr w:type="gramEnd"/>
      <w:r w:rsidRPr="00521017">
        <w:rPr>
          <w:rFonts w:ascii="Arial" w:hAnsi="Arial" w:cs="Arial"/>
        </w:rPr>
        <w:t xml:space="preserve"> e justiça (também chamadas de políticas públicas penais)</w:t>
      </w:r>
      <w:r w:rsidRPr="00521017">
        <w:rPr>
          <w:rStyle w:val="Refdenotaderodap"/>
          <w:rFonts w:ascii="Arial" w:hAnsi="Arial" w:cs="Arial"/>
        </w:rPr>
        <w:footnoteReference w:id="2"/>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Neste domínio, o sistema vem se mostrando completamente ineficaz na contenção da violência no contexto do estado democrático de direito. Problemas relacionados à lei e à ordem têm afetado a crença dos cidadãos nas instituições públicas de segurança.</w:t>
      </w:r>
    </w:p>
    <w:p w:rsidR="00383F68" w:rsidRPr="00521017" w:rsidRDefault="00383F68" w:rsidP="00521017">
      <w:pPr>
        <w:ind w:firstLine="851"/>
        <w:jc w:val="both"/>
        <w:rPr>
          <w:rFonts w:ascii="Arial" w:hAnsi="Arial" w:cs="Arial"/>
        </w:rPr>
      </w:pPr>
      <w:r w:rsidRPr="00521017">
        <w:rPr>
          <w:rFonts w:ascii="Arial" w:hAnsi="Arial" w:cs="Arial"/>
        </w:rPr>
        <w:t>Os fatos da violência têm tido forte impacto no meio acadêmico. Para além de uma mera preocupação para com a fenomenologia da violência - algo talvez mais afinado com uma perspectiva que se poderia identificar como própria da tradição criminológica - a pesquisa brasileira identificou neste campo um lugar para decifrar, em parte, os rumos contemporâneos desta sociedade</w:t>
      </w:r>
      <w:r w:rsidRPr="00521017">
        <w:rPr>
          <w:rStyle w:val="Refdenotaderodap"/>
          <w:rFonts w:ascii="Arial" w:hAnsi="Arial" w:cs="Arial"/>
        </w:rPr>
        <w:footnoteReference w:id="3"/>
      </w:r>
      <w:r w:rsidRPr="00521017">
        <w:rPr>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t>As bases do sistema público de segurança estão assentadas numa estrutura social historicamente conivente com a violência privada, a desigualdade social, econômica e jurídica e os déficits de democracia de grande parte da população. As instituições encarregadas da vigilância e aplicação da lei não se prepararam para o recrudescimento da criminalidade de forma técnica, agindo quase que exclusivamente de modo reativo.</w:t>
      </w:r>
    </w:p>
    <w:p w:rsidR="00383F68" w:rsidRPr="00521017" w:rsidRDefault="00383F68" w:rsidP="00521017">
      <w:pPr>
        <w:ind w:firstLine="851"/>
        <w:jc w:val="both"/>
        <w:rPr>
          <w:rFonts w:ascii="Arial" w:hAnsi="Arial" w:cs="Arial"/>
        </w:rPr>
      </w:pPr>
      <w:r w:rsidRPr="00521017">
        <w:rPr>
          <w:rFonts w:ascii="Arial" w:hAnsi="Arial" w:cs="Arial"/>
        </w:rPr>
        <w:t>A aplicação da força policial nos diversos manifestos ocorridos no país em 2013, reivindicando acerca de diversos temas contemporâneos, demonstra a vulnerabilidade destas instituições no trato democrático. A aplicação do excesso pelas tropas de choque no início dos manifestos ou a total inércia após a crítica da imprensa contra os vândalos que depredam o patrimônio público evidenciam a falta de preparo</w:t>
      </w:r>
      <w:r w:rsidRPr="00521017">
        <w:rPr>
          <w:rStyle w:val="Refdenotaderodap"/>
          <w:rFonts w:ascii="Arial" w:hAnsi="Arial" w:cs="Arial"/>
        </w:rPr>
        <w:footnoteReference w:id="4"/>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lastRenderedPageBreak/>
        <w:t>A herança político-institucional e cultural do período ditatorial (1964 – 1985), geradora da exclusão e do afastamento de grandes parcelas da população aos direitos básicos, acentuou o esfacelamento de uma cultura democrática em construção ao enfatizar o controle do Estado em relação às chamadas “classes perigosas”.</w:t>
      </w:r>
    </w:p>
    <w:p w:rsidR="00383F68" w:rsidRPr="00521017" w:rsidRDefault="00383F68" w:rsidP="00521017">
      <w:pPr>
        <w:ind w:firstLine="851"/>
        <w:jc w:val="both"/>
        <w:rPr>
          <w:rFonts w:ascii="Arial" w:hAnsi="Arial" w:cs="Arial"/>
        </w:rPr>
      </w:pPr>
      <w:r w:rsidRPr="00521017">
        <w:rPr>
          <w:rFonts w:ascii="Arial" w:hAnsi="Arial" w:cs="Arial"/>
        </w:rPr>
        <w:t>Neste período da história nacional o principal objetivo do governo, em correspondência ao autoritarismo político, era eliminar qualquer tendência de discussão de cunho político no âmbito das instituições públicas e da sociedade. Os órgãos de Segurança Pública não só deveriam manter-se como um mecanismo alheio à discussão dessa natureza, como também tinham a atribuição de garantir o distanciamento político das demais políticas públicas e da sociedade como um todo</w:t>
      </w:r>
      <w:r w:rsidRPr="00521017">
        <w:rPr>
          <w:rStyle w:val="Refdenotaderodap"/>
          <w:rFonts w:ascii="Arial" w:hAnsi="Arial" w:cs="Arial"/>
        </w:rPr>
        <w:footnoteReference w:id="5"/>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Em boa medida, o conceito da doutrina de segurança criado durante este período da história continuou vigorando na estrutura de nossos sistemas estaduais e federal de segurança. Até meados da década de 1990, o modelo e as ações de segurança pública limitavam-se à contenção social, a partir do preceito de que “lei e ordem” públicas derivariam no uso da força, das armas e das ações policiais pela exclusiva via da repressão</w:t>
      </w:r>
      <w:r w:rsidRPr="00521017">
        <w:rPr>
          <w:rStyle w:val="Refdenotaderodap"/>
          <w:rFonts w:ascii="Arial" w:hAnsi="Arial" w:cs="Arial"/>
        </w:rPr>
        <w:footnoteReference w:id="6"/>
      </w:r>
      <w:r w:rsidRPr="00521017">
        <w:rPr>
          <w:rFonts w:ascii="Arial" w:hAnsi="Arial" w:cs="Arial"/>
        </w:rPr>
        <w:t>.</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Um olhar sobre a história da polícia revela uma faceta da organização das políticas públicas e do gerenciamento do espaço público no Brasil. A questão da segurança e o discurso armamentista que o Estado prega hoje em dia nada mais é que uma artimanha para o controle da massa. Uma vez que a prevenção ao crime é secundária, investe-se no confronto “armado” contra os marginais; mantem-se a população amedrontada</w:t>
      </w:r>
      <w:proofErr w:type="gramStart"/>
      <w:r w:rsidRPr="00521017">
        <w:rPr>
          <w:rFonts w:ascii="Arial" w:hAnsi="Arial" w:cs="Arial"/>
          <w:sz w:val="22"/>
          <w:szCs w:val="22"/>
        </w:rPr>
        <w:t>, quer</w:t>
      </w:r>
      <w:proofErr w:type="gramEnd"/>
      <w:r w:rsidRPr="00521017">
        <w:rPr>
          <w:rFonts w:ascii="Arial" w:hAnsi="Arial" w:cs="Arial"/>
          <w:sz w:val="22"/>
          <w:szCs w:val="22"/>
        </w:rPr>
        <w:t xml:space="preserve"> por parte da força policial, quer por parte dos bandidos, também armados</w:t>
      </w:r>
      <w:r w:rsidRPr="00521017">
        <w:rPr>
          <w:rStyle w:val="Refdenotaderodap"/>
          <w:rFonts w:ascii="Arial" w:hAnsi="Arial" w:cs="Arial"/>
          <w:sz w:val="22"/>
          <w:szCs w:val="22"/>
        </w:rPr>
        <w:footnoteReference w:id="7"/>
      </w:r>
      <w:r w:rsidRPr="00521017">
        <w:rPr>
          <w:rFonts w:ascii="Arial" w:hAnsi="Arial" w:cs="Arial"/>
          <w:sz w:val="22"/>
          <w:szCs w:val="22"/>
        </w:rPr>
        <w:t xml:space="preserve">. </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Conjugando práticas clientelistas e patrimonialistas – que remontam da formação social e política nacional – nasce um sistema público de segurança a serviço de determinadas classes sociais, legitimadas pelo ordenamento. Tal situação perdura mesmo depois da promulgação da Constituição Federal de 1998 com pequenas investidas democráticas</w:t>
      </w:r>
      <w:r w:rsidRPr="00521017">
        <w:rPr>
          <w:rStyle w:val="Refdenotaderodap"/>
          <w:rFonts w:ascii="Arial" w:hAnsi="Arial" w:cs="Arial"/>
        </w:rPr>
        <w:footnoteReference w:id="8"/>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Não há como questionar os avanços democráticos pós-ditadura de 1964, muito menos a estabilidade das instituições que fazem parte deste regime que é, pelo menos formalmente, democrático. Por outro lado, seria um erro considerar que: (1) a democracia atinge igualmente a todas as classes e grupos sociais e, (2) a </w:t>
      </w:r>
      <w:r w:rsidRPr="00521017">
        <w:rPr>
          <w:rFonts w:ascii="Arial" w:hAnsi="Arial" w:cs="Arial"/>
        </w:rPr>
        <w:lastRenderedPageBreak/>
        <w:t>ideologia contida no art. 144 da Constituição não seja claramente antidemocrática, inclusive, conflitando com outros artigos da mesma Carta</w:t>
      </w:r>
      <w:r w:rsidRPr="00521017">
        <w:rPr>
          <w:rStyle w:val="Refdenotaderodap"/>
          <w:rFonts w:ascii="Arial" w:hAnsi="Arial" w:cs="Arial"/>
        </w:rPr>
        <w:footnoteReference w:id="9"/>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No Brasil esse processo de redemocratização revelou-se “lento e gradual”, controlado pelo próprio regime ditatorial, “fazendo com que o modelo de policiamento permanecesse intocado em suas características principais. Mesmo diante da intensa transformação da sociedade brasileira, duas polícias estaduais – uma civil, investigativa e judiciária, outra militar, ostensiva e fardada – permaneceriam como as principais organizações de segurança pública</w:t>
      </w:r>
      <w:proofErr w:type="gramStart"/>
      <w:r w:rsidRPr="00521017">
        <w:rPr>
          <w:rFonts w:ascii="Arial" w:hAnsi="Arial" w:cs="Arial"/>
        </w:rPr>
        <w:t>”</w:t>
      </w:r>
      <w:proofErr w:type="gramEnd"/>
      <w:r w:rsidRPr="00521017">
        <w:rPr>
          <w:rStyle w:val="Refdenotaderodap"/>
          <w:rFonts w:ascii="Arial" w:hAnsi="Arial" w:cs="Arial"/>
        </w:rPr>
        <w:t xml:space="preserve"> </w:t>
      </w:r>
      <w:r w:rsidRPr="00521017">
        <w:rPr>
          <w:rStyle w:val="Refdenotaderodap"/>
          <w:rFonts w:ascii="Arial" w:hAnsi="Arial" w:cs="Arial"/>
        </w:rPr>
        <w:footnoteReference w:id="10"/>
      </w:r>
      <w:r w:rsidRPr="00521017">
        <w:rPr>
          <w:rFonts w:ascii="Arial" w:hAnsi="Arial" w:cs="Arial"/>
        </w:rPr>
        <w:t xml:space="preserve">, revelando a tendência de militarização das políticas públicas de segurança, em especial na preservação da ordem pública. </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Segue forte a militarização da sociedade e a </w:t>
      </w:r>
      <w:proofErr w:type="spellStart"/>
      <w:r w:rsidRPr="00521017">
        <w:rPr>
          <w:rFonts w:ascii="Arial" w:hAnsi="Arial" w:cs="Arial"/>
          <w:sz w:val="22"/>
          <w:szCs w:val="22"/>
        </w:rPr>
        <w:t>policialização</w:t>
      </w:r>
      <w:proofErr w:type="spellEnd"/>
      <w:r w:rsidRPr="00521017">
        <w:rPr>
          <w:rFonts w:ascii="Arial" w:hAnsi="Arial" w:cs="Arial"/>
          <w:sz w:val="22"/>
          <w:szCs w:val="22"/>
        </w:rPr>
        <w:t xml:space="preserve"> das políticas públicas, observável quando a polícia é chamada para resolver problemas sociais ou quando a retórica oficial repete ad </w:t>
      </w:r>
      <w:proofErr w:type="spellStart"/>
      <w:r w:rsidRPr="00521017">
        <w:rPr>
          <w:rFonts w:ascii="Arial" w:hAnsi="Arial" w:cs="Arial"/>
          <w:sz w:val="22"/>
          <w:szCs w:val="22"/>
        </w:rPr>
        <w:t>nauseam</w:t>
      </w:r>
      <w:proofErr w:type="spellEnd"/>
      <w:r w:rsidRPr="00521017">
        <w:rPr>
          <w:rFonts w:ascii="Arial" w:hAnsi="Arial" w:cs="Arial"/>
          <w:sz w:val="22"/>
          <w:szCs w:val="22"/>
        </w:rPr>
        <w:t xml:space="preserve">: a polícia </w:t>
      </w:r>
      <w:proofErr w:type="gramStart"/>
      <w:r w:rsidRPr="00521017">
        <w:rPr>
          <w:rFonts w:ascii="Arial" w:hAnsi="Arial" w:cs="Arial"/>
          <w:sz w:val="22"/>
          <w:szCs w:val="22"/>
        </w:rPr>
        <w:t>vai na</w:t>
      </w:r>
      <w:proofErr w:type="gramEnd"/>
      <w:r w:rsidRPr="00521017">
        <w:rPr>
          <w:rFonts w:ascii="Arial" w:hAnsi="Arial" w:cs="Arial"/>
          <w:sz w:val="22"/>
          <w:szCs w:val="22"/>
        </w:rPr>
        <w:t xml:space="preserve"> frente e depois fazemos ocupação social. Discurso que não se sustenta uma vez que a polícia entra e a ocupação social fica sempre para depois, isto é, quando a polícia também não se vai</w:t>
      </w:r>
      <w:r w:rsidRPr="00521017">
        <w:rPr>
          <w:rFonts w:ascii="Arial" w:hAnsi="Arial" w:cs="Arial"/>
          <w:sz w:val="22"/>
          <w:szCs w:val="22"/>
          <w:vertAlign w:val="superscript"/>
        </w:rPr>
        <w:footnoteReference w:id="11"/>
      </w:r>
      <w:r w:rsidRPr="00521017">
        <w:rPr>
          <w:rFonts w:ascii="Arial" w:hAnsi="Arial" w:cs="Arial"/>
          <w:sz w:val="22"/>
          <w:szCs w:val="22"/>
        </w:rPr>
        <w:t>.</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As investidas democráticas nas instituições policiais são salutares, porém, duramente criticadas quando perfazem apenas o mundo das ideias:</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Os discursos sobre a implantação de policiamento comunitário, respeito aos direitos humanos ou mediação de conflitos, tem existência teórica nos cursos de formação, mas na prática, volto a dizer, funciona o que de fato aprendem e internalizam por meio da cultura da organização e o currículo oculto que produzem. Refiro-me ao famoso: esqueçam tudo o que vocês aprenderam [teoricamente]... </w:t>
      </w:r>
      <w:proofErr w:type="gramStart"/>
      <w:r w:rsidRPr="00521017">
        <w:rPr>
          <w:rFonts w:ascii="Arial" w:hAnsi="Arial" w:cs="Arial"/>
          <w:sz w:val="22"/>
          <w:szCs w:val="22"/>
        </w:rPr>
        <w:t>o</w:t>
      </w:r>
      <w:proofErr w:type="gramEnd"/>
      <w:r w:rsidRPr="00521017">
        <w:rPr>
          <w:rFonts w:ascii="Arial" w:hAnsi="Arial" w:cs="Arial"/>
          <w:sz w:val="22"/>
          <w:szCs w:val="22"/>
        </w:rPr>
        <w:t xml:space="preserve"> aprendizado real começa aqui [nas ruas]</w:t>
      </w:r>
      <w:r w:rsidRPr="00521017">
        <w:rPr>
          <w:rStyle w:val="Refdenotaderodap"/>
          <w:rFonts w:ascii="Arial" w:hAnsi="Arial" w:cs="Arial"/>
          <w:sz w:val="22"/>
          <w:szCs w:val="22"/>
        </w:rPr>
        <w:footnoteReference w:id="12"/>
      </w:r>
      <w:r w:rsidRPr="00521017">
        <w:rPr>
          <w:rFonts w:ascii="Arial" w:hAnsi="Arial" w:cs="Arial"/>
          <w:sz w:val="22"/>
          <w:szCs w:val="22"/>
        </w:rPr>
        <w:t>.</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Conforme esclarece Marcello Martinez HIPÓLITO, o policial, já no período de formação, recebe o treinamento enclausurado numa sala de aula que pouco reproduz as práticas futuras. Assimila rapidamente os valores da instituição, transmitidos pelos colegas mais antigos, fragilizado pela situação de anomia com que se depara. É muito difícil ensinar ao jovem policial hábitos opostos aos que lhe recomendam seus colegas antigos quando ele chega a um serviço</w:t>
      </w:r>
      <w:r w:rsidRPr="00521017">
        <w:rPr>
          <w:rStyle w:val="Refdenotaderodap"/>
          <w:rFonts w:ascii="Arial" w:hAnsi="Arial" w:cs="Arial"/>
        </w:rPr>
        <w:footnoteReference w:id="13"/>
      </w:r>
      <w:r w:rsidRPr="00521017">
        <w:rPr>
          <w:rFonts w:ascii="Arial" w:hAnsi="Arial" w:cs="Arial"/>
        </w:rPr>
        <w:t>.</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“A teoria na prática é outra”. Essa é uma importante lição nas academias de polícia, nas ruas, na fala dos policiais calejados. É um alerta: para “tirar polícia”, se manter na carreira, é preciso saber lidar com as “</w:t>
      </w:r>
      <w:proofErr w:type="spellStart"/>
      <w:r w:rsidRPr="00521017">
        <w:rPr>
          <w:rFonts w:ascii="Arial" w:hAnsi="Arial" w:cs="Arial"/>
          <w:sz w:val="22"/>
          <w:szCs w:val="22"/>
        </w:rPr>
        <w:t>carteiradas</w:t>
      </w:r>
      <w:proofErr w:type="spellEnd"/>
      <w:r w:rsidRPr="00521017">
        <w:rPr>
          <w:rFonts w:ascii="Arial" w:hAnsi="Arial" w:cs="Arial"/>
          <w:sz w:val="22"/>
          <w:szCs w:val="22"/>
        </w:rPr>
        <w:t xml:space="preserve">” de dentro e de fora da polícia. Na “prática”, cada policial tem que inventar, a cada nova circunstância, seu próprio equilíbrio entre a “convivência” e a “conivência” com os interesses e negócios que </w:t>
      </w:r>
      <w:r w:rsidRPr="00521017">
        <w:rPr>
          <w:rFonts w:ascii="Arial" w:hAnsi="Arial" w:cs="Arial"/>
          <w:sz w:val="22"/>
          <w:szCs w:val="22"/>
        </w:rPr>
        <w:lastRenderedPageBreak/>
        <w:t>atravessam o fazer policial. Saber lidar com os momentos em que o que se aprendeu e deseja praticar da patrulha, da investigação, da inteligência, do atendimento emergencial, das atividades assistenciais ou das operações especiais pode ser posto em xeque por algum “acerto”, antes, durante ou mesmo depois de uma ação policial. Esse é um aprendizado doloroso para os jovens policiais, que vão descobrindo a desencantada realidade do trabalho policial no Brasil: “a polícia tem vários patrões</w:t>
      </w:r>
      <w:proofErr w:type="gramStart"/>
      <w:r w:rsidRPr="00521017">
        <w:rPr>
          <w:rFonts w:ascii="Arial" w:hAnsi="Arial" w:cs="Arial"/>
          <w:sz w:val="22"/>
          <w:szCs w:val="22"/>
        </w:rPr>
        <w:t>”</w:t>
      </w:r>
      <w:proofErr w:type="gramEnd"/>
      <w:r w:rsidRPr="00521017">
        <w:rPr>
          <w:rStyle w:val="Refdenotaderodap"/>
          <w:rFonts w:ascii="Arial" w:hAnsi="Arial" w:cs="Arial"/>
          <w:sz w:val="22"/>
          <w:szCs w:val="22"/>
        </w:rPr>
        <w:footnoteReference w:id="14"/>
      </w:r>
      <w:r w:rsidRPr="00521017">
        <w:rPr>
          <w:rFonts w:ascii="Arial" w:hAnsi="Arial" w:cs="Arial"/>
          <w:sz w:val="22"/>
          <w:szCs w:val="22"/>
        </w:rPr>
        <w:t>.</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Nessa representação social constata-se a construção recíproca de preconceitos entre a sociedade e a polícia, dificultando que os órgãos de Segurança Pública se envolvam verdadeiramente nas questões social, contribuindo, também, para a sua ausência no espaço da cidadania. Bloqueia-se, portanto, o alcance da Segurança Pública no campo das políticas públicas, seja através do debate político, seja mediante a discussão de cunho teórico. Seus profissionais são distanciados da categoria social servidor público, cuja atribuição social consiste na viabilização de políticas públicas</w:t>
      </w:r>
      <w:r w:rsidRPr="00521017">
        <w:rPr>
          <w:rStyle w:val="Refdenotaderodap"/>
          <w:rFonts w:ascii="Arial" w:hAnsi="Arial" w:cs="Arial"/>
        </w:rPr>
        <w:footnoteReference w:id="15"/>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Importante esclarecer que as pretensas mudanças institucionais das forças militares estaduais serão analisadas no presente estudo pela vertente teórica do </w:t>
      </w:r>
      <w:proofErr w:type="spellStart"/>
      <w:r w:rsidRPr="00521017">
        <w:rPr>
          <w:rFonts w:ascii="Arial" w:hAnsi="Arial" w:cs="Arial"/>
        </w:rPr>
        <w:t>neoinstitucionalismo</w:t>
      </w:r>
      <w:proofErr w:type="spellEnd"/>
      <w:r w:rsidRPr="00521017">
        <w:rPr>
          <w:rFonts w:ascii="Arial" w:hAnsi="Arial" w:cs="Arial"/>
        </w:rPr>
        <w:t xml:space="preserve">. Corrente que surgiu como síntese epistemológica e metodológica, partindo do antigo </w:t>
      </w:r>
      <w:proofErr w:type="spellStart"/>
      <w:r w:rsidRPr="00521017">
        <w:rPr>
          <w:rFonts w:ascii="Arial" w:hAnsi="Arial" w:cs="Arial"/>
        </w:rPr>
        <w:t>institucionalismo</w:t>
      </w:r>
      <w:proofErr w:type="spellEnd"/>
      <w:r w:rsidRPr="00521017">
        <w:rPr>
          <w:rFonts w:ascii="Arial" w:hAnsi="Arial" w:cs="Arial"/>
        </w:rPr>
        <w:t>, tem como principal marca a volta das instituições ao centro da investigação política, mas incorporando métodos mais rigorosos de análise, bem como a atenção ao comportamento dos indivíduos</w:t>
      </w:r>
      <w:r w:rsidRPr="00521017">
        <w:rPr>
          <w:rStyle w:val="Refdenotaderodap"/>
          <w:rFonts w:ascii="Arial" w:hAnsi="Arial" w:cs="Arial"/>
        </w:rPr>
        <w:footnoteReference w:id="16"/>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Em especial o </w:t>
      </w:r>
      <w:proofErr w:type="spellStart"/>
      <w:r w:rsidRPr="00521017">
        <w:rPr>
          <w:rFonts w:ascii="Arial" w:hAnsi="Arial" w:cs="Arial"/>
        </w:rPr>
        <w:t>neoinstitucionalismo</w:t>
      </w:r>
      <w:proofErr w:type="spellEnd"/>
      <w:r w:rsidRPr="00521017">
        <w:rPr>
          <w:rFonts w:ascii="Arial" w:hAnsi="Arial" w:cs="Arial"/>
        </w:rPr>
        <w:t xml:space="preserve"> sociológico apresenta contribuições ao presente estudo ao concluir que os procedimentos, regras e normas características das instituições modernas não são simplesmente um modo de ação mais eficiente em relação à funcionalidade delas, mas, sim, práticas culturais equivalentes aos rituais e cerimônias peculiares de várias sociedades</w:t>
      </w:r>
      <w:r w:rsidRPr="00521017">
        <w:rPr>
          <w:rStyle w:val="Refdenotaderodap"/>
          <w:rFonts w:ascii="Arial" w:hAnsi="Arial" w:cs="Arial"/>
        </w:rPr>
        <w:footnoteReference w:id="17"/>
      </w:r>
      <w:r w:rsidRPr="00521017">
        <w:rPr>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t>As instituições têm, para este enfoque da corrente, um significado muito mais amplo, compreendendo “os sistemas de símbolos, os esquemas cognitivos e os modelos morais que fornecem “padrões de significação” que guiam a ação humana”. A consequência conceitual dessa interpretação é que a oposição entre “instituições” e “cultura” desaparece. No seu lugar, as instituições passariam a corresponder à própria cultura</w:t>
      </w:r>
      <w:r w:rsidRPr="00521017">
        <w:rPr>
          <w:rStyle w:val="Refdenotaderodap"/>
          <w:rFonts w:ascii="Arial" w:hAnsi="Arial" w:cs="Arial"/>
        </w:rPr>
        <w:footnoteReference w:id="18"/>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Mark GRANOVETTER, embora critique a noção funcionalista da visão </w:t>
      </w:r>
      <w:proofErr w:type="spellStart"/>
      <w:r w:rsidRPr="00521017">
        <w:rPr>
          <w:rFonts w:ascii="Arial" w:hAnsi="Arial" w:cs="Arial"/>
        </w:rPr>
        <w:t>neoinstitucionalista</w:t>
      </w:r>
      <w:proofErr w:type="spellEnd"/>
      <w:r w:rsidRPr="00521017">
        <w:rPr>
          <w:rFonts w:ascii="Arial" w:hAnsi="Arial" w:cs="Arial"/>
        </w:rPr>
        <w:t>, contribui para explicar a manutenção das instituições.  Para o autor “(...) as instituições são conjuntos mais complexos de ações individuais que remetem frequentemente à ideia de que é assim que as coisas devem ser feitas</w:t>
      </w:r>
      <w:proofErr w:type="gramStart"/>
      <w:r w:rsidRPr="00521017">
        <w:rPr>
          <w:rFonts w:ascii="Arial" w:hAnsi="Arial" w:cs="Arial"/>
        </w:rPr>
        <w:t>”</w:t>
      </w:r>
      <w:proofErr w:type="gramEnd"/>
      <w:r w:rsidRPr="00521017">
        <w:rPr>
          <w:rStyle w:val="Refdenotaderodap"/>
          <w:rFonts w:ascii="Arial" w:hAnsi="Arial" w:cs="Arial"/>
        </w:rPr>
        <w:footnoteReference w:id="19"/>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lastRenderedPageBreak/>
        <w:t xml:space="preserve">As instituições existentes estão longe de </w:t>
      </w:r>
      <w:proofErr w:type="gramStart"/>
      <w:r w:rsidRPr="00521017">
        <w:rPr>
          <w:rFonts w:ascii="Arial" w:hAnsi="Arial" w:cs="Arial"/>
        </w:rPr>
        <w:t>ser</w:t>
      </w:r>
      <w:proofErr w:type="gramEnd"/>
      <w:r w:rsidRPr="00521017">
        <w:rPr>
          <w:rFonts w:ascii="Arial" w:hAnsi="Arial" w:cs="Arial"/>
        </w:rPr>
        <w:t xml:space="preserve"> as mais eficientes, devendo sua emergência a um êxito no quadro da luta entre várias opções</w:t>
      </w:r>
      <w:r w:rsidRPr="00521017">
        <w:rPr>
          <w:rStyle w:val="Refdenotaderodap"/>
          <w:rFonts w:ascii="Arial" w:hAnsi="Arial" w:cs="Arial"/>
        </w:rPr>
        <w:footnoteReference w:id="20"/>
      </w:r>
      <w:r w:rsidRPr="00521017">
        <w:rPr>
          <w:rFonts w:ascii="Arial" w:hAnsi="Arial" w:cs="Arial"/>
        </w:rPr>
        <w:t xml:space="preserve">. Afasta-se o argumento darwinista implícito de que “(...) as soluções eficientes, qualquer que seja sua origem, têm uma capacidade para se </w:t>
      </w:r>
      <w:proofErr w:type="gramStart"/>
      <w:r w:rsidRPr="00521017">
        <w:rPr>
          <w:rFonts w:ascii="Arial" w:hAnsi="Arial" w:cs="Arial"/>
        </w:rPr>
        <w:t>impor</w:t>
      </w:r>
      <w:proofErr w:type="gramEnd"/>
      <w:r w:rsidRPr="00521017">
        <w:rPr>
          <w:rFonts w:ascii="Arial" w:hAnsi="Arial" w:cs="Arial"/>
        </w:rPr>
        <w:t>, semelhante àquela gerada pela seleção natural no mundo biológico”</w:t>
      </w:r>
      <w:r w:rsidRPr="00521017">
        <w:rPr>
          <w:rStyle w:val="Refdenotaderodap"/>
          <w:rFonts w:ascii="Arial" w:hAnsi="Arial" w:cs="Arial"/>
        </w:rPr>
        <w:footnoteReference w:id="21"/>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As instituições são “contribuições sociais”. A forma assumida por estas é fortemente condicionada pelo conteúdo e pela estrutura das relações sociais. </w:t>
      </w:r>
      <w:proofErr w:type="spellStart"/>
      <w:r w:rsidRPr="00521017">
        <w:rPr>
          <w:rFonts w:ascii="Arial" w:hAnsi="Arial" w:cs="Arial"/>
        </w:rPr>
        <w:t>Granovetter</w:t>
      </w:r>
      <w:proofErr w:type="spellEnd"/>
      <w:r w:rsidRPr="00521017">
        <w:rPr>
          <w:rFonts w:ascii="Arial" w:hAnsi="Arial" w:cs="Arial"/>
        </w:rPr>
        <w:t xml:space="preserve"> infere que as instituições são “cristalizadas”, inertes e uma vez constituídas, tendem a excluir as outras possibilidades no futuro, mesmo se ocorrer uma mudança na estrutura social: é o fenômeno de trancamento (</w:t>
      </w:r>
      <w:proofErr w:type="spellStart"/>
      <w:r w:rsidRPr="00521017">
        <w:rPr>
          <w:rFonts w:ascii="Arial" w:hAnsi="Arial" w:cs="Arial"/>
          <w:i/>
        </w:rPr>
        <w:t>lock</w:t>
      </w:r>
      <w:proofErr w:type="spellEnd"/>
      <w:r w:rsidRPr="00521017">
        <w:rPr>
          <w:rFonts w:ascii="Arial" w:hAnsi="Arial" w:cs="Arial"/>
          <w:i/>
        </w:rPr>
        <w:t>-in</w:t>
      </w:r>
      <w:proofErr w:type="gramStart"/>
      <w:r w:rsidRPr="00521017">
        <w:rPr>
          <w:rFonts w:ascii="Arial" w:hAnsi="Arial" w:cs="Arial"/>
        </w:rPr>
        <w:t>)</w:t>
      </w:r>
      <w:proofErr w:type="gramEnd"/>
      <w:r w:rsidRPr="00521017">
        <w:rPr>
          <w:rStyle w:val="Refdenotaderodap"/>
          <w:rFonts w:ascii="Arial" w:hAnsi="Arial" w:cs="Arial"/>
        </w:rPr>
        <w:footnoteReference w:id="22"/>
      </w:r>
      <w:r w:rsidRPr="00521017">
        <w:rPr>
          <w:rFonts w:ascii="Arial" w:hAnsi="Arial" w:cs="Arial"/>
        </w:rPr>
        <w:t xml:space="preserve">. Esta inércia é explicada pelos investimentos em tecnologias, equipamentos, lobbys, treinamento, cujo valor vai desestimular qualquer veleidade de mudança. </w:t>
      </w:r>
    </w:p>
    <w:p w:rsidR="00383F68" w:rsidRPr="00521017" w:rsidRDefault="00383F68" w:rsidP="00521017">
      <w:pPr>
        <w:ind w:firstLine="851"/>
        <w:jc w:val="both"/>
        <w:rPr>
          <w:rFonts w:ascii="Arial" w:hAnsi="Arial" w:cs="Arial"/>
        </w:rPr>
      </w:pPr>
      <w:r w:rsidRPr="00521017">
        <w:rPr>
          <w:rFonts w:ascii="Arial" w:hAnsi="Arial" w:cs="Arial"/>
        </w:rPr>
        <w:t>Devido à inércia, ou dependência de caminho, as instituições podem perdurar apesar de sua ineficiência. O acúmulo de capital, relações políticas e know-how podem perpetuar instituições.</w:t>
      </w:r>
    </w:p>
    <w:p w:rsidR="00383F68" w:rsidRPr="00521017" w:rsidRDefault="00383F68" w:rsidP="00521017">
      <w:pPr>
        <w:ind w:firstLine="851"/>
        <w:jc w:val="both"/>
        <w:rPr>
          <w:rFonts w:ascii="Arial" w:hAnsi="Arial" w:cs="Arial"/>
        </w:rPr>
      </w:pPr>
      <w:r w:rsidRPr="00521017">
        <w:rPr>
          <w:rFonts w:ascii="Arial" w:hAnsi="Arial" w:cs="Arial"/>
        </w:rPr>
        <w:t>David BAYLEY define as instituições policiais como “aquelas organizações destinadas ao controle social com autorização para utilizar a força, quando necessário</w:t>
      </w:r>
      <w:proofErr w:type="gramStart"/>
      <w:r w:rsidRPr="00521017">
        <w:rPr>
          <w:rFonts w:ascii="Arial" w:hAnsi="Arial" w:cs="Arial"/>
        </w:rPr>
        <w:t>”</w:t>
      </w:r>
      <w:proofErr w:type="gramEnd"/>
      <w:r w:rsidRPr="00521017">
        <w:rPr>
          <w:rStyle w:val="Refdenotaderodap"/>
          <w:rFonts w:ascii="Arial" w:hAnsi="Arial" w:cs="Arial"/>
        </w:rPr>
        <w:footnoteReference w:id="23"/>
      </w:r>
      <w:r w:rsidRPr="00521017">
        <w:rPr>
          <w:rFonts w:ascii="Arial" w:hAnsi="Arial" w:cs="Arial"/>
        </w:rPr>
        <w:t xml:space="preserve">. O que caracteriza a atividade policial, portanto, é a possibilidade do uso da força. Tal definição, porém, não marca a diferença entre as instituições policiais e as forças armadas. </w:t>
      </w:r>
    </w:p>
    <w:p w:rsidR="00383F68" w:rsidRPr="00521017" w:rsidRDefault="00383F68" w:rsidP="00521017">
      <w:pPr>
        <w:ind w:firstLine="851"/>
        <w:jc w:val="both"/>
        <w:rPr>
          <w:rFonts w:ascii="Arial" w:hAnsi="Arial" w:cs="Arial"/>
        </w:rPr>
      </w:pPr>
      <w:r w:rsidRPr="00521017">
        <w:rPr>
          <w:rFonts w:ascii="Arial" w:hAnsi="Arial" w:cs="Arial"/>
        </w:rPr>
        <w:t>A diferença principal, segundo o autor, recai na situação de emprego. Enquanto as forças armadas são empregas no controle social em situações excepcionais, e no caso dos regimes democráticos dentro de determinado limites, as polícias realizam essa tarefa quotidianamente</w:t>
      </w:r>
      <w:r w:rsidRPr="00521017">
        <w:rPr>
          <w:rStyle w:val="Refdenotaderodap"/>
          <w:rFonts w:ascii="Arial" w:hAnsi="Arial" w:cs="Arial"/>
        </w:rPr>
        <w:footnoteReference w:id="24"/>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Jerome SKOLNICK destaca o caráter conflitivo da atividade de controle social por parte das instituições policiais num regime democrático, inferindo que “se as polícias pudessem manter a ordem sem se preocupar com os aspectos da legalidade, suas dificuldades diminuiriam consideravelmente. Entretanto, elas estão inevitavelmente preocupadas em interpretar a legalidade, uma vez que usam a lei como instrumento da ordem</w:t>
      </w:r>
      <w:r w:rsidRPr="00521017">
        <w:rPr>
          <w:rStyle w:val="Refdenotaderodap"/>
          <w:rFonts w:ascii="Arial" w:hAnsi="Arial" w:cs="Arial"/>
        </w:rPr>
        <w:t xml:space="preserve"> </w:t>
      </w:r>
      <w:proofErr w:type="gramStart"/>
      <w:r w:rsidRPr="00521017">
        <w:rPr>
          <w:rFonts w:ascii="Arial" w:hAnsi="Arial" w:cs="Arial"/>
        </w:rPr>
        <w:t>“</w:t>
      </w:r>
      <w:proofErr w:type="gramEnd"/>
      <w:r w:rsidRPr="00521017">
        <w:rPr>
          <w:rStyle w:val="Refdenotaderodap"/>
          <w:rFonts w:ascii="Arial" w:hAnsi="Arial" w:cs="Arial"/>
        </w:rPr>
        <w:footnoteReference w:id="25"/>
      </w:r>
      <w:r w:rsidRPr="00521017">
        <w:rPr>
          <w:rFonts w:ascii="Arial" w:hAnsi="Arial" w:cs="Arial"/>
        </w:rPr>
        <w:t>.</w:t>
      </w:r>
      <w:r w:rsidRPr="00521017">
        <w:rPr>
          <w:rStyle w:val="Refdenotaderodap"/>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t>Quando trata sobre o tema segurança pública, a Constituição Federal está repleta de conceitos imprecisos. Exemplificando, o de “ordem pública”, que pode ser ajustado de acordo com as circunstâncias e conveniências liberais, para justificar um ou outro tipo de intervenção policial. É passível de incorporações autoritárias, como a realizada pelas políticas de “lei e ordem” e de “tolerância zero</w:t>
      </w:r>
      <w:proofErr w:type="gramStart"/>
      <w:r w:rsidRPr="00521017">
        <w:rPr>
          <w:rFonts w:ascii="Arial" w:hAnsi="Arial" w:cs="Arial"/>
        </w:rPr>
        <w:t>”</w:t>
      </w:r>
      <w:proofErr w:type="gramEnd"/>
      <w:r w:rsidRPr="00521017">
        <w:rPr>
          <w:rStyle w:val="Refdenotaderodap"/>
          <w:rFonts w:ascii="Arial" w:hAnsi="Arial" w:cs="Arial"/>
        </w:rPr>
        <w:footnoteReference w:id="26"/>
      </w:r>
      <w:r w:rsidRPr="00521017">
        <w:rPr>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lastRenderedPageBreak/>
        <w:t xml:space="preserve">Porém, o instituto também pode coabitar com o discurso democrático ao ser concebido como ordem republicana garantidora dos princípios constitucionais. Instituto necessário ao desenvolvimento sustentável da sociedade. </w:t>
      </w:r>
      <w:proofErr w:type="gramStart"/>
      <w:r w:rsidRPr="00521017">
        <w:rPr>
          <w:rFonts w:ascii="Arial" w:hAnsi="Arial" w:cs="Arial"/>
        </w:rPr>
        <w:t>A interpretação equivocada de alguns doutrinadores e especialistas (até por conta da ambiguidade apresentada)</w:t>
      </w:r>
      <w:proofErr w:type="gramEnd"/>
      <w:r w:rsidRPr="00521017">
        <w:rPr>
          <w:rFonts w:ascii="Arial" w:hAnsi="Arial" w:cs="Arial"/>
        </w:rPr>
        <w:t xml:space="preserve"> induz, muitas vezes, a prática de políticas autoritárias</w:t>
      </w:r>
      <w:r w:rsidRPr="00521017">
        <w:rPr>
          <w:rStyle w:val="Refdenotaderodap"/>
          <w:rFonts w:ascii="Arial" w:hAnsi="Arial" w:cs="Arial"/>
        </w:rPr>
        <w:footnoteReference w:id="27"/>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O papel das polícias na realização do controle social varia de Estado para Estado. Quanto mais central for esse papel, maior a possibilidade de conflito entre a lei e a ordem. Isso se deve ao fato de que o instrumento de atuação das polícias, e seu traço diferenciador, </w:t>
      </w:r>
      <w:proofErr w:type="gramStart"/>
      <w:r w:rsidRPr="00521017">
        <w:rPr>
          <w:rFonts w:ascii="Arial" w:hAnsi="Arial" w:cs="Arial"/>
        </w:rPr>
        <w:t>é</w:t>
      </w:r>
      <w:proofErr w:type="gramEnd"/>
      <w:r w:rsidRPr="00521017">
        <w:rPr>
          <w:rFonts w:ascii="Arial" w:hAnsi="Arial" w:cs="Arial"/>
        </w:rPr>
        <w:t xml:space="preserve"> o uso da força</w:t>
      </w:r>
      <w:r w:rsidRPr="00521017">
        <w:rPr>
          <w:rStyle w:val="Refdenotaderodap"/>
          <w:rFonts w:ascii="Arial" w:hAnsi="Arial" w:cs="Arial"/>
        </w:rPr>
        <w:footnoteReference w:id="28"/>
      </w:r>
      <w:r w:rsidRPr="00521017">
        <w:rPr>
          <w:rFonts w:ascii="Arial" w:hAnsi="Arial" w:cs="Arial"/>
        </w:rPr>
        <w:t xml:space="preserve"> para garantia da lei e da ordem.</w:t>
      </w:r>
    </w:p>
    <w:p w:rsidR="00383F68" w:rsidRPr="00521017" w:rsidRDefault="00383F68" w:rsidP="00521017">
      <w:pPr>
        <w:ind w:firstLine="851"/>
        <w:jc w:val="both"/>
        <w:rPr>
          <w:rFonts w:ascii="Arial" w:hAnsi="Arial" w:cs="Arial"/>
        </w:rPr>
      </w:pPr>
      <w:r w:rsidRPr="00521017">
        <w:rPr>
          <w:rFonts w:ascii="Arial" w:hAnsi="Arial" w:cs="Arial"/>
        </w:rPr>
        <w:t xml:space="preserve">O conceito de ordem pública está estatuído no art. 2º, nº 21, do Decreto Federal nº 88.777/83 (Regulamento para as Polícias Militares e Corpos de Bombeiros Militares): “conjunto de regras formais, que emanaram do ordenamento jurídico da Nação, tendo por escopo regular as relações sociais de todos os níveis, do interesse público, estabelecendo um clima de convivência harmoniosa e pacífica, fiscalizado pelo poder de polícia, e constituindo uma situação ou condição que conduza ao bem comum”. </w:t>
      </w:r>
    </w:p>
    <w:p w:rsidR="00383F68" w:rsidRPr="00521017" w:rsidRDefault="00383F68" w:rsidP="00521017">
      <w:pPr>
        <w:ind w:firstLine="851"/>
        <w:jc w:val="both"/>
        <w:rPr>
          <w:rFonts w:ascii="Arial" w:hAnsi="Arial" w:cs="Arial"/>
        </w:rPr>
      </w:pPr>
      <w:r w:rsidRPr="00521017">
        <w:rPr>
          <w:rFonts w:ascii="Arial" w:hAnsi="Arial" w:cs="Arial"/>
        </w:rPr>
        <w:t xml:space="preserve">Como sustenta Diogo Figueiredo MOREIRA NETO o conceito legal é empolado, confuso e cheio de equívocos, pelos seguintes motivos: (1) não são regras, mas o resultado apreciável de sua observância, ou seja, uma situação que se quer manter ou que se quer chegar se a mesma for alterada e, permanecendo este entendimento, ficariam de fora as referências à moral e aos costumes vigentes; (2) ainda se fosse </w:t>
      </w:r>
      <w:proofErr w:type="gramStart"/>
      <w:r w:rsidRPr="00521017">
        <w:rPr>
          <w:rFonts w:ascii="Arial" w:hAnsi="Arial" w:cs="Arial"/>
        </w:rPr>
        <w:t>a</w:t>
      </w:r>
      <w:proofErr w:type="gramEnd"/>
      <w:r w:rsidRPr="00521017">
        <w:rPr>
          <w:rFonts w:ascii="Arial" w:hAnsi="Arial" w:cs="Arial"/>
        </w:rPr>
        <w:t xml:space="preserve"> ordem pública reduzida a um conjunto de regras formais, não fica claro como este conjunto poderia regular as relações sociais de todos os níveis do interesse público; (3) ao fazer menção à fiscalização do poder de polícia, esquece-se dos demais meios de atuação (atos normativos, consentimento e sanção de polícia); (4) e por último, quando expressa a finalidade de alcance de bem comum abre margem a ações discricionárias, excessos e abusos dos agentes públicos em prol da supremacia do interesse público</w:t>
      </w:r>
      <w:r w:rsidRPr="00521017">
        <w:rPr>
          <w:rStyle w:val="Refdenotaderodap"/>
          <w:rFonts w:ascii="Arial" w:hAnsi="Arial" w:cs="Arial"/>
        </w:rPr>
        <w:footnoteReference w:id="29"/>
      </w:r>
      <w:r w:rsidRPr="00521017">
        <w:rPr>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t xml:space="preserve">O artigo XXIX, II, da </w:t>
      </w:r>
      <w:hyperlink r:id="rId8" w:tooltip="Declaração Universal dos Direitos Humanos" w:history="1">
        <w:r w:rsidRPr="00521017">
          <w:rPr>
            <w:rStyle w:val="Hyperlink"/>
            <w:rFonts w:ascii="Arial" w:hAnsi="Arial" w:cs="Arial"/>
            <w:color w:val="auto"/>
            <w:u w:val="none"/>
          </w:rPr>
          <w:t>Declaração Universal dos Direitos Humanos</w:t>
        </w:r>
      </w:hyperlink>
      <w:r w:rsidRPr="00521017">
        <w:rPr>
          <w:rFonts w:ascii="Arial" w:hAnsi="Arial" w:cs="Arial"/>
        </w:rPr>
        <w:t xml:space="preserve"> permite a restrição dos direitos fundamentais para assegurar a ordem pública, desde que reguladas pelo ordenamento jurídico:</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No exercício destes direitos e no gozo destas liberdades ninguém está sujeito senão às limitações estabelecidas pela lei com vista exclusivamente a promover o reconhecimento e o respeito dos direitos e liberdades dos outros e a fim de satisfazer as justas exigências da moral, da ordem pública e do bem-estar numa sociedade democrática. </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 xml:space="preserve">Numa </w:t>
      </w:r>
      <w:hyperlink r:id="rId9" w:tooltip="Democracia" w:history="1">
        <w:r w:rsidRPr="00521017">
          <w:rPr>
            <w:rStyle w:val="Hyperlink"/>
            <w:rFonts w:ascii="Arial" w:hAnsi="Arial" w:cs="Arial"/>
            <w:color w:val="auto"/>
            <w:u w:val="none"/>
          </w:rPr>
          <w:t>democracia</w:t>
        </w:r>
      </w:hyperlink>
      <w:r w:rsidRPr="00521017">
        <w:rPr>
          <w:rFonts w:ascii="Arial" w:hAnsi="Arial" w:cs="Arial"/>
        </w:rPr>
        <w:t xml:space="preserve"> a preservação da ordem pública deve, portanto, respeitar o ordenamento jurídico, elementos que de forma integrada e harmoniosa devem </w:t>
      </w:r>
      <w:r w:rsidRPr="00521017">
        <w:rPr>
          <w:rFonts w:ascii="Arial" w:hAnsi="Arial" w:cs="Arial"/>
        </w:rPr>
        <w:lastRenderedPageBreak/>
        <w:t>garantir os interesses de uma nação livre e soberana. O poder de polícia, quando garantidor desta ordem pública, não deve se afastar dessa premissa</w:t>
      </w:r>
      <w:r w:rsidRPr="00521017">
        <w:rPr>
          <w:rStyle w:val="Refdenotaderodap"/>
          <w:rFonts w:ascii="Arial" w:hAnsi="Arial" w:cs="Arial"/>
        </w:rPr>
        <w:footnoteReference w:id="30"/>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 xml:space="preserve">Pedro Rodolfo </w:t>
      </w:r>
      <w:proofErr w:type="spellStart"/>
      <w:r w:rsidRPr="00521017">
        <w:rPr>
          <w:rFonts w:ascii="Arial" w:hAnsi="Arial" w:cs="Arial"/>
        </w:rPr>
        <w:t>Bodê</w:t>
      </w:r>
      <w:proofErr w:type="spellEnd"/>
      <w:r w:rsidRPr="00521017">
        <w:rPr>
          <w:rFonts w:ascii="Arial" w:hAnsi="Arial" w:cs="Arial"/>
        </w:rPr>
        <w:t xml:space="preserve"> de MORAES expressa que a manutenção da ordem é uma questão de grande interesse para todo e qualquer cidadão. Processo este que está presente nas atividades públicas e privadas de todos: a organização de rotinas domésticas e o comportamento no trânsito são exemplos disto</w:t>
      </w:r>
      <w:r w:rsidRPr="00521017">
        <w:rPr>
          <w:rStyle w:val="Refdenotaderodap"/>
          <w:rFonts w:ascii="Arial" w:hAnsi="Arial" w:cs="Arial"/>
        </w:rPr>
        <w:footnoteReference w:id="31"/>
      </w:r>
      <w:r w:rsidRPr="00521017">
        <w:rPr>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t xml:space="preserve">A </w:t>
      </w:r>
      <w:r w:rsidRPr="00521017">
        <w:rPr>
          <w:rFonts w:ascii="Arial" w:hAnsi="Arial" w:cs="Arial"/>
          <w:i/>
        </w:rPr>
        <w:t xml:space="preserve">stricto sensu </w:t>
      </w:r>
      <w:r w:rsidRPr="00521017">
        <w:rPr>
          <w:rFonts w:ascii="Arial" w:hAnsi="Arial" w:cs="Arial"/>
        </w:rPr>
        <w:t>a mesma manutenção da ordem pode ser vista como responsabilidade de agentes especializados, e em qualquer lugar do mundo é uma das funções da polícia. Num simplório exercício lógico, pode-se dizer que “ordem é ausência de desordem”.</w:t>
      </w:r>
      <w:r w:rsidRPr="00521017">
        <w:rPr>
          <w:rStyle w:val="Refdenotaderodap"/>
          <w:rFonts w:ascii="Arial" w:hAnsi="Arial" w:cs="Arial"/>
        </w:rPr>
        <w:t xml:space="preserve"> </w:t>
      </w:r>
      <w:r w:rsidRPr="00521017">
        <w:rPr>
          <w:rFonts w:ascii="Arial" w:hAnsi="Arial" w:cs="Arial"/>
        </w:rPr>
        <w:t>Sinônimo de organização pode ser entendida como a ausência de conflito ou do que se possa entender como comportamentos inapropriados. O sentido do termo, porém, é muito mais profundo e encerra para cada um desde elementos individuais e referidos à construção de nossas identidades até elementos históricos</w:t>
      </w:r>
      <w:r w:rsidRPr="00521017">
        <w:rPr>
          <w:rStyle w:val="Refdenotaderodap"/>
          <w:rFonts w:ascii="Arial" w:hAnsi="Arial" w:cs="Arial"/>
        </w:rPr>
        <w:footnoteReference w:id="32"/>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Em relação à ação policial, há um desvirtuamento, como assevera Jean-Claude MONET, a ordem passa sempre à frente da lei</w:t>
      </w:r>
      <w:r w:rsidRPr="00521017">
        <w:rPr>
          <w:rStyle w:val="Refdenotaderodap"/>
          <w:rFonts w:ascii="Arial" w:hAnsi="Arial" w:cs="Arial"/>
        </w:rPr>
        <w:footnoteReference w:id="33"/>
      </w:r>
      <w:r w:rsidRPr="00521017">
        <w:rPr>
          <w:rFonts w:ascii="Arial" w:hAnsi="Arial" w:cs="Arial"/>
        </w:rPr>
        <w:t>, com visíveis conotações políticas. No domínio da manutenção da ordem a lei é equívoca: precisa para determinar as infrações que os cidadãos podem cometer, mas flexível quanto aos meios empregados pela polícia e quanto às finalidades exatas que suas intervenções devem perseguir</w:t>
      </w:r>
      <w:r w:rsidRPr="00521017">
        <w:rPr>
          <w:rStyle w:val="Refdenotaderodap"/>
          <w:rFonts w:ascii="Arial" w:hAnsi="Arial" w:cs="Arial"/>
        </w:rPr>
        <w:footnoteReference w:id="34"/>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As polícias são parte do aparato estatal de controle social e de proteção de determinados grupos, ideias e valores politicamente favorecidos. Porém, as mudanças econômicas e sociais não necessariamente fazem-se sentir em todo o aparelho estatal. É possível que parte do aparelho continue comportando-se a partir de valores e dentro de uma estrutura preexistente a tais mudanças</w:t>
      </w:r>
      <w:r w:rsidRPr="00521017">
        <w:rPr>
          <w:rStyle w:val="Refdenotaderodap"/>
          <w:rFonts w:ascii="Arial" w:hAnsi="Arial" w:cs="Arial"/>
        </w:rPr>
        <w:footnoteReference w:id="35"/>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Algumas polícias latino-americanas, mesmo após as diversas mudanças políticas e sociais (transições democráticas) continuam apresentando comportamento violento e, muitas vezes, ilegal</w:t>
      </w:r>
      <w:r w:rsidRPr="00521017">
        <w:rPr>
          <w:rStyle w:val="Refdenotaderodap"/>
          <w:rFonts w:ascii="Arial" w:hAnsi="Arial" w:cs="Arial"/>
        </w:rPr>
        <w:footnoteReference w:id="36"/>
      </w:r>
      <w:r w:rsidRPr="00521017">
        <w:rPr>
          <w:rFonts w:ascii="Arial" w:hAnsi="Arial" w:cs="Arial"/>
        </w:rPr>
        <w:t xml:space="preserve">. Em função destes problemas têm enfrentado o desafio de reformar suas forças policiais. Os esforços se concentraram na criação de mecanismos institucionais de responsabilização e controle, estimulando as polícias a se submeter ao estado de direito e a respeitar as liberdades civis. </w:t>
      </w:r>
    </w:p>
    <w:p w:rsidR="00383F68" w:rsidRPr="00521017" w:rsidRDefault="00383F68" w:rsidP="00521017">
      <w:pPr>
        <w:ind w:firstLine="851"/>
        <w:jc w:val="both"/>
        <w:rPr>
          <w:rFonts w:ascii="Arial" w:hAnsi="Arial" w:cs="Arial"/>
        </w:rPr>
      </w:pPr>
      <w:r w:rsidRPr="00521017">
        <w:rPr>
          <w:rFonts w:ascii="Arial" w:hAnsi="Arial" w:cs="Arial"/>
        </w:rPr>
        <w:t xml:space="preserve">Dentre as várias medidas que vem sendo propostas e implantadas, podemos destacar: a ampliação das competências judiciárias, a criação de ouvidorias de polícia e as mudanças no treinamento policial a fim de incorporar os princípios de direitos humanos. Processos de reformas foram iniciados na Argentina, </w:t>
      </w:r>
      <w:r w:rsidRPr="00521017">
        <w:rPr>
          <w:rFonts w:ascii="Arial" w:hAnsi="Arial" w:cs="Arial"/>
        </w:rPr>
        <w:lastRenderedPageBreak/>
        <w:t>Brasil, Colômbia, El Salvador, Guatemala, Haiti, Honduras, México e Nicarágua. Apesar dos esforços, as reformas implantadas não lograram o êxito esperado</w:t>
      </w:r>
      <w:r w:rsidRPr="00521017">
        <w:rPr>
          <w:rStyle w:val="Refdenotaderodap"/>
          <w:rFonts w:ascii="Arial" w:hAnsi="Arial" w:cs="Arial"/>
        </w:rPr>
        <w:footnoteReference w:id="37"/>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A manutenção desta ordem em muitos dos países latinos continua revelando-se truculenta e avessa ao discurso humanista:</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El </w:t>
      </w:r>
      <w:proofErr w:type="spellStart"/>
      <w:r w:rsidRPr="00521017">
        <w:rPr>
          <w:rFonts w:ascii="Arial" w:hAnsi="Arial" w:cs="Arial"/>
          <w:sz w:val="22"/>
          <w:szCs w:val="22"/>
        </w:rPr>
        <w:t>control</w:t>
      </w:r>
      <w:proofErr w:type="spellEnd"/>
      <w:r w:rsidRPr="00521017">
        <w:rPr>
          <w:rFonts w:ascii="Arial" w:hAnsi="Arial" w:cs="Arial"/>
          <w:sz w:val="22"/>
          <w:szCs w:val="22"/>
        </w:rPr>
        <w:t xml:space="preserve"> punitivo </w:t>
      </w:r>
      <w:proofErr w:type="spellStart"/>
      <w:proofErr w:type="gramStart"/>
      <w:r w:rsidRPr="00521017">
        <w:rPr>
          <w:rFonts w:ascii="Arial" w:hAnsi="Arial" w:cs="Arial"/>
          <w:sz w:val="22"/>
          <w:szCs w:val="22"/>
        </w:rPr>
        <w:t>del</w:t>
      </w:r>
      <w:proofErr w:type="spellEnd"/>
      <w:proofErr w:type="gramEnd"/>
      <w:r w:rsidRPr="00521017">
        <w:rPr>
          <w:rFonts w:ascii="Arial" w:hAnsi="Arial" w:cs="Arial"/>
          <w:sz w:val="22"/>
          <w:szCs w:val="22"/>
        </w:rPr>
        <w:t xml:space="preserve"> </w:t>
      </w:r>
      <w:proofErr w:type="spellStart"/>
      <w:r w:rsidRPr="00521017">
        <w:rPr>
          <w:rFonts w:ascii="Arial" w:hAnsi="Arial" w:cs="Arial"/>
          <w:sz w:val="22"/>
          <w:szCs w:val="22"/>
        </w:rPr>
        <w:t>orden</w:t>
      </w:r>
      <w:proofErr w:type="spellEnd"/>
      <w:r w:rsidRPr="00521017">
        <w:rPr>
          <w:rFonts w:ascii="Arial" w:hAnsi="Arial" w:cs="Arial"/>
          <w:sz w:val="22"/>
          <w:szCs w:val="22"/>
        </w:rPr>
        <w:t xml:space="preserve"> público </w:t>
      </w:r>
      <w:proofErr w:type="spellStart"/>
      <w:r w:rsidRPr="00521017">
        <w:rPr>
          <w:rFonts w:ascii="Arial" w:hAnsi="Arial" w:cs="Arial"/>
          <w:sz w:val="22"/>
          <w:szCs w:val="22"/>
        </w:rPr>
        <w:t>estableció</w:t>
      </w:r>
      <w:proofErr w:type="spellEnd"/>
      <w:r w:rsidRPr="00521017">
        <w:rPr>
          <w:rFonts w:ascii="Arial" w:hAnsi="Arial" w:cs="Arial"/>
          <w:sz w:val="22"/>
          <w:szCs w:val="22"/>
        </w:rPr>
        <w:t xml:space="preserve"> </w:t>
      </w:r>
      <w:proofErr w:type="spellStart"/>
      <w:r w:rsidRPr="00521017">
        <w:rPr>
          <w:rFonts w:ascii="Arial" w:hAnsi="Arial" w:cs="Arial"/>
          <w:sz w:val="22"/>
          <w:szCs w:val="22"/>
        </w:rPr>
        <w:t>la</w:t>
      </w:r>
      <w:proofErr w:type="spellEnd"/>
      <w:r w:rsidRPr="00521017">
        <w:rPr>
          <w:rFonts w:ascii="Arial" w:hAnsi="Arial" w:cs="Arial"/>
          <w:sz w:val="22"/>
          <w:szCs w:val="22"/>
        </w:rPr>
        <w:t xml:space="preserve"> pauta para </w:t>
      </w:r>
      <w:proofErr w:type="spellStart"/>
      <w:r w:rsidRPr="00521017">
        <w:rPr>
          <w:rFonts w:ascii="Arial" w:hAnsi="Arial" w:cs="Arial"/>
          <w:sz w:val="22"/>
          <w:szCs w:val="22"/>
        </w:rPr>
        <w:t>el</w:t>
      </w:r>
      <w:proofErr w:type="spellEnd"/>
      <w:r w:rsidRPr="00521017">
        <w:rPr>
          <w:rFonts w:ascii="Arial" w:hAnsi="Arial" w:cs="Arial"/>
          <w:sz w:val="22"/>
          <w:szCs w:val="22"/>
        </w:rPr>
        <w:t xml:space="preserve"> </w:t>
      </w:r>
      <w:proofErr w:type="spellStart"/>
      <w:r w:rsidRPr="00521017">
        <w:rPr>
          <w:rFonts w:ascii="Arial" w:hAnsi="Arial" w:cs="Arial"/>
          <w:sz w:val="22"/>
          <w:szCs w:val="22"/>
        </w:rPr>
        <w:t>control</w:t>
      </w:r>
      <w:proofErr w:type="spellEnd"/>
      <w:r w:rsidRPr="00521017">
        <w:rPr>
          <w:rFonts w:ascii="Arial" w:hAnsi="Arial" w:cs="Arial"/>
          <w:sz w:val="22"/>
          <w:szCs w:val="22"/>
        </w:rPr>
        <w:t xml:space="preserve"> social (</w:t>
      </w:r>
      <w:proofErr w:type="spellStart"/>
      <w:r w:rsidRPr="00521017">
        <w:rPr>
          <w:rFonts w:ascii="Arial" w:hAnsi="Arial" w:cs="Arial"/>
          <w:sz w:val="22"/>
          <w:szCs w:val="22"/>
        </w:rPr>
        <w:t>en</w:t>
      </w:r>
      <w:proofErr w:type="spellEnd"/>
      <w:r w:rsidRPr="00521017">
        <w:rPr>
          <w:rFonts w:ascii="Arial" w:hAnsi="Arial" w:cs="Arial"/>
          <w:sz w:val="22"/>
          <w:szCs w:val="22"/>
        </w:rPr>
        <w:t xml:space="preserve"> América Latina). Los </w:t>
      </w:r>
      <w:proofErr w:type="spellStart"/>
      <w:r w:rsidRPr="00521017">
        <w:rPr>
          <w:rFonts w:ascii="Arial" w:hAnsi="Arial" w:cs="Arial"/>
          <w:sz w:val="22"/>
          <w:szCs w:val="22"/>
        </w:rPr>
        <w:t>gobiernos</w:t>
      </w:r>
      <w:proofErr w:type="spellEnd"/>
      <w:r w:rsidRPr="00521017">
        <w:rPr>
          <w:rFonts w:ascii="Arial" w:hAnsi="Arial" w:cs="Arial"/>
          <w:sz w:val="22"/>
          <w:szCs w:val="22"/>
        </w:rPr>
        <w:t xml:space="preserve"> </w:t>
      </w:r>
      <w:proofErr w:type="spellStart"/>
      <w:r w:rsidRPr="00521017">
        <w:rPr>
          <w:rFonts w:ascii="Arial" w:hAnsi="Arial" w:cs="Arial"/>
          <w:sz w:val="22"/>
          <w:szCs w:val="22"/>
        </w:rPr>
        <w:t>han</w:t>
      </w:r>
      <w:proofErr w:type="spellEnd"/>
      <w:r w:rsidRPr="00521017">
        <w:rPr>
          <w:rFonts w:ascii="Arial" w:hAnsi="Arial" w:cs="Arial"/>
          <w:sz w:val="22"/>
          <w:szCs w:val="22"/>
        </w:rPr>
        <w:t xml:space="preserve"> eliminado </w:t>
      </w:r>
      <w:proofErr w:type="spellStart"/>
      <w:r w:rsidRPr="00521017">
        <w:rPr>
          <w:rFonts w:ascii="Arial" w:hAnsi="Arial" w:cs="Arial"/>
          <w:sz w:val="22"/>
          <w:szCs w:val="22"/>
        </w:rPr>
        <w:t>los</w:t>
      </w:r>
      <w:proofErr w:type="spellEnd"/>
      <w:r w:rsidRPr="00521017">
        <w:rPr>
          <w:rFonts w:ascii="Arial" w:hAnsi="Arial" w:cs="Arial"/>
          <w:sz w:val="22"/>
          <w:szCs w:val="22"/>
        </w:rPr>
        <w:t xml:space="preserve"> </w:t>
      </w:r>
      <w:proofErr w:type="spellStart"/>
      <w:r w:rsidRPr="00521017">
        <w:rPr>
          <w:rFonts w:ascii="Arial" w:hAnsi="Arial" w:cs="Arial"/>
          <w:sz w:val="22"/>
          <w:szCs w:val="22"/>
        </w:rPr>
        <w:t>límites</w:t>
      </w:r>
      <w:proofErr w:type="spellEnd"/>
      <w:r w:rsidRPr="00521017">
        <w:rPr>
          <w:rFonts w:ascii="Arial" w:hAnsi="Arial" w:cs="Arial"/>
          <w:sz w:val="22"/>
          <w:szCs w:val="22"/>
        </w:rPr>
        <w:t xml:space="preserve"> para </w:t>
      </w:r>
      <w:proofErr w:type="spellStart"/>
      <w:proofErr w:type="gramStart"/>
      <w:r w:rsidRPr="00521017">
        <w:rPr>
          <w:rFonts w:ascii="Arial" w:hAnsi="Arial" w:cs="Arial"/>
          <w:sz w:val="22"/>
          <w:szCs w:val="22"/>
        </w:rPr>
        <w:t>el</w:t>
      </w:r>
      <w:proofErr w:type="spellEnd"/>
      <w:proofErr w:type="gramEnd"/>
      <w:r w:rsidRPr="00521017">
        <w:rPr>
          <w:rFonts w:ascii="Arial" w:hAnsi="Arial" w:cs="Arial"/>
          <w:sz w:val="22"/>
          <w:szCs w:val="22"/>
        </w:rPr>
        <w:t xml:space="preserve"> poder coercitivo de </w:t>
      </w:r>
      <w:proofErr w:type="spellStart"/>
      <w:r w:rsidRPr="00521017">
        <w:rPr>
          <w:rFonts w:ascii="Arial" w:hAnsi="Arial" w:cs="Arial"/>
          <w:sz w:val="22"/>
          <w:szCs w:val="22"/>
        </w:rPr>
        <w:t>la</w:t>
      </w:r>
      <w:proofErr w:type="spellEnd"/>
      <w:r w:rsidRPr="00521017">
        <w:rPr>
          <w:rFonts w:ascii="Arial" w:hAnsi="Arial" w:cs="Arial"/>
          <w:sz w:val="22"/>
          <w:szCs w:val="22"/>
        </w:rPr>
        <w:t xml:space="preserve"> </w:t>
      </w:r>
      <w:proofErr w:type="spellStart"/>
      <w:r w:rsidRPr="00521017">
        <w:rPr>
          <w:rFonts w:ascii="Arial" w:hAnsi="Arial" w:cs="Arial"/>
          <w:sz w:val="22"/>
          <w:szCs w:val="22"/>
        </w:rPr>
        <w:t>policía</w:t>
      </w:r>
      <w:proofErr w:type="spellEnd"/>
      <w:r w:rsidRPr="00521017">
        <w:rPr>
          <w:rFonts w:ascii="Arial" w:hAnsi="Arial" w:cs="Arial"/>
          <w:sz w:val="22"/>
          <w:szCs w:val="22"/>
        </w:rPr>
        <w:t xml:space="preserve">, </w:t>
      </w:r>
      <w:proofErr w:type="spellStart"/>
      <w:r w:rsidRPr="00521017">
        <w:rPr>
          <w:rFonts w:ascii="Arial" w:hAnsi="Arial" w:cs="Arial"/>
          <w:sz w:val="22"/>
          <w:szCs w:val="22"/>
        </w:rPr>
        <w:t>las</w:t>
      </w:r>
      <w:proofErr w:type="spellEnd"/>
      <w:r w:rsidRPr="00521017">
        <w:rPr>
          <w:rFonts w:ascii="Arial" w:hAnsi="Arial" w:cs="Arial"/>
          <w:sz w:val="22"/>
          <w:szCs w:val="22"/>
        </w:rPr>
        <w:t xml:space="preserve"> </w:t>
      </w:r>
      <w:proofErr w:type="spellStart"/>
      <w:r w:rsidRPr="00521017">
        <w:rPr>
          <w:rFonts w:ascii="Arial" w:hAnsi="Arial" w:cs="Arial"/>
          <w:sz w:val="22"/>
          <w:szCs w:val="22"/>
        </w:rPr>
        <w:t>acciones</w:t>
      </w:r>
      <w:proofErr w:type="spellEnd"/>
      <w:r w:rsidRPr="00521017">
        <w:rPr>
          <w:rFonts w:ascii="Arial" w:hAnsi="Arial" w:cs="Arial"/>
          <w:sz w:val="22"/>
          <w:szCs w:val="22"/>
        </w:rPr>
        <w:t xml:space="preserve"> de vigilantes </w:t>
      </w:r>
      <w:proofErr w:type="spellStart"/>
      <w:r w:rsidRPr="00521017">
        <w:rPr>
          <w:rFonts w:ascii="Arial" w:hAnsi="Arial" w:cs="Arial"/>
          <w:sz w:val="22"/>
          <w:szCs w:val="22"/>
        </w:rPr>
        <w:t>paraestatales</w:t>
      </w:r>
      <w:proofErr w:type="spellEnd"/>
      <w:r w:rsidRPr="00521017">
        <w:rPr>
          <w:rFonts w:ascii="Arial" w:hAnsi="Arial" w:cs="Arial"/>
          <w:sz w:val="22"/>
          <w:szCs w:val="22"/>
        </w:rPr>
        <w:t xml:space="preserve">, y sobre </w:t>
      </w:r>
      <w:proofErr w:type="spellStart"/>
      <w:r w:rsidRPr="00521017">
        <w:rPr>
          <w:rFonts w:ascii="Arial" w:hAnsi="Arial" w:cs="Arial"/>
          <w:sz w:val="22"/>
          <w:szCs w:val="22"/>
        </w:rPr>
        <w:t>la</w:t>
      </w:r>
      <w:proofErr w:type="spellEnd"/>
      <w:r w:rsidRPr="00521017">
        <w:rPr>
          <w:rFonts w:ascii="Arial" w:hAnsi="Arial" w:cs="Arial"/>
          <w:sz w:val="22"/>
          <w:szCs w:val="22"/>
        </w:rPr>
        <w:t xml:space="preserve"> </w:t>
      </w:r>
      <w:proofErr w:type="spellStart"/>
      <w:r w:rsidRPr="00521017">
        <w:rPr>
          <w:rFonts w:ascii="Arial" w:hAnsi="Arial" w:cs="Arial"/>
          <w:sz w:val="22"/>
          <w:szCs w:val="22"/>
        </w:rPr>
        <w:t>autoridad</w:t>
      </w:r>
      <w:proofErr w:type="spellEnd"/>
      <w:r w:rsidRPr="00521017">
        <w:rPr>
          <w:rFonts w:ascii="Arial" w:hAnsi="Arial" w:cs="Arial"/>
          <w:sz w:val="22"/>
          <w:szCs w:val="22"/>
        </w:rPr>
        <w:t xml:space="preserve"> de </w:t>
      </w:r>
      <w:proofErr w:type="spellStart"/>
      <w:r w:rsidRPr="00521017">
        <w:rPr>
          <w:rFonts w:ascii="Arial" w:hAnsi="Arial" w:cs="Arial"/>
          <w:sz w:val="22"/>
          <w:szCs w:val="22"/>
        </w:rPr>
        <w:t>las</w:t>
      </w:r>
      <w:proofErr w:type="spellEnd"/>
      <w:r w:rsidRPr="00521017">
        <w:rPr>
          <w:rFonts w:ascii="Arial" w:hAnsi="Arial" w:cs="Arial"/>
          <w:sz w:val="22"/>
          <w:szCs w:val="22"/>
        </w:rPr>
        <w:t xml:space="preserve"> </w:t>
      </w:r>
      <w:proofErr w:type="spellStart"/>
      <w:r w:rsidRPr="00521017">
        <w:rPr>
          <w:rFonts w:ascii="Arial" w:hAnsi="Arial" w:cs="Arial"/>
          <w:sz w:val="22"/>
          <w:szCs w:val="22"/>
        </w:rPr>
        <w:t>fuerzas</w:t>
      </w:r>
      <w:proofErr w:type="spellEnd"/>
      <w:r w:rsidRPr="00521017">
        <w:rPr>
          <w:rFonts w:ascii="Arial" w:hAnsi="Arial" w:cs="Arial"/>
          <w:sz w:val="22"/>
          <w:szCs w:val="22"/>
        </w:rPr>
        <w:t xml:space="preserve"> de </w:t>
      </w:r>
      <w:proofErr w:type="spellStart"/>
      <w:r w:rsidRPr="00521017">
        <w:rPr>
          <w:rFonts w:ascii="Arial" w:hAnsi="Arial" w:cs="Arial"/>
          <w:sz w:val="22"/>
          <w:szCs w:val="22"/>
        </w:rPr>
        <w:t>seguridad</w:t>
      </w:r>
      <w:proofErr w:type="spellEnd"/>
      <w:r w:rsidRPr="00521017">
        <w:rPr>
          <w:rFonts w:ascii="Arial" w:hAnsi="Arial" w:cs="Arial"/>
          <w:sz w:val="22"/>
          <w:szCs w:val="22"/>
        </w:rPr>
        <w:t xml:space="preserve"> </w:t>
      </w:r>
      <w:proofErr w:type="spellStart"/>
      <w:r w:rsidRPr="00521017">
        <w:rPr>
          <w:rFonts w:ascii="Arial" w:hAnsi="Arial" w:cs="Arial"/>
          <w:sz w:val="22"/>
          <w:szCs w:val="22"/>
        </w:rPr>
        <w:t>del</w:t>
      </w:r>
      <w:proofErr w:type="spellEnd"/>
      <w:r w:rsidRPr="00521017">
        <w:rPr>
          <w:rFonts w:ascii="Arial" w:hAnsi="Arial" w:cs="Arial"/>
          <w:sz w:val="22"/>
          <w:szCs w:val="22"/>
        </w:rPr>
        <w:t xml:space="preserve"> estado. La tortura, </w:t>
      </w:r>
      <w:proofErr w:type="spellStart"/>
      <w:proofErr w:type="gramStart"/>
      <w:r w:rsidRPr="00521017">
        <w:rPr>
          <w:rFonts w:ascii="Arial" w:hAnsi="Arial" w:cs="Arial"/>
          <w:sz w:val="22"/>
          <w:szCs w:val="22"/>
        </w:rPr>
        <w:t>el</w:t>
      </w:r>
      <w:proofErr w:type="spellEnd"/>
      <w:proofErr w:type="gramEnd"/>
      <w:r w:rsidRPr="00521017">
        <w:rPr>
          <w:rFonts w:ascii="Arial" w:hAnsi="Arial" w:cs="Arial"/>
          <w:sz w:val="22"/>
          <w:szCs w:val="22"/>
        </w:rPr>
        <w:t xml:space="preserve"> </w:t>
      </w:r>
      <w:proofErr w:type="spellStart"/>
      <w:r w:rsidRPr="00521017">
        <w:rPr>
          <w:rFonts w:ascii="Arial" w:hAnsi="Arial" w:cs="Arial"/>
          <w:sz w:val="22"/>
          <w:szCs w:val="22"/>
        </w:rPr>
        <w:t>control</w:t>
      </w:r>
      <w:proofErr w:type="spellEnd"/>
      <w:r w:rsidRPr="00521017">
        <w:rPr>
          <w:rFonts w:ascii="Arial" w:hAnsi="Arial" w:cs="Arial"/>
          <w:sz w:val="22"/>
          <w:szCs w:val="22"/>
        </w:rPr>
        <w:t xml:space="preserve"> </w:t>
      </w:r>
      <w:proofErr w:type="spellStart"/>
      <w:r w:rsidRPr="00521017">
        <w:rPr>
          <w:rFonts w:ascii="Arial" w:hAnsi="Arial" w:cs="Arial"/>
          <w:sz w:val="22"/>
          <w:szCs w:val="22"/>
        </w:rPr>
        <w:t>del</w:t>
      </w:r>
      <w:proofErr w:type="spellEnd"/>
      <w:r w:rsidRPr="00521017">
        <w:rPr>
          <w:rFonts w:ascii="Arial" w:hAnsi="Arial" w:cs="Arial"/>
          <w:sz w:val="22"/>
          <w:szCs w:val="22"/>
        </w:rPr>
        <w:t xml:space="preserve"> </w:t>
      </w:r>
      <w:proofErr w:type="spellStart"/>
      <w:r w:rsidRPr="00521017">
        <w:rPr>
          <w:rFonts w:ascii="Arial" w:hAnsi="Arial" w:cs="Arial"/>
          <w:sz w:val="22"/>
          <w:szCs w:val="22"/>
        </w:rPr>
        <w:t>orden</w:t>
      </w:r>
      <w:proofErr w:type="spellEnd"/>
      <w:r w:rsidRPr="00521017">
        <w:rPr>
          <w:rFonts w:ascii="Arial" w:hAnsi="Arial" w:cs="Arial"/>
          <w:sz w:val="22"/>
          <w:szCs w:val="22"/>
        </w:rPr>
        <w:t xml:space="preserve"> público militarizado, </w:t>
      </w:r>
      <w:proofErr w:type="spellStart"/>
      <w:r w:rsidRPr="00521017">
        <w:rPr>
          <w:rFonts w:ascii="Arial" w:hAnsi="Arial" w:cs="Arial"/>
          <w:sz w:val="22"/>
          <w:szCs w:val="22"/>
        </w:rPr>
        <w:t>la</w:t>
      </w:r>
      <w:proofErr w:type="spellEnd"/>
      <w:r w:rsidRPr="00521017">
        <w:rPr>
          <w:rFonts w:ascii="Arial" w:hAnsi="Arial" w:cs="Arial"/>
          <w:sz w:val="22"/>
          <w:szCs w:val="22"/>
        </w:rPr>
        <w:t xml:space="preserve"> </w:t>
      </w:r>
      <w:proofErr w:type="spellStart"/>
      <w:r w:rsidRPr="00521017">
        <w:rPr>
          <w:rFonts w:ascii="Arial" w:hAnsi="Arial" w:cs="Arial"/>
          <w:sz w:val="22"/>
          <w:szCs w:val="22"/>
        </w:rPr>
        <w:t>fuerza</w:t>
      </w:r>
      <w:proofErr w:type="spellEnd"/>
      <w:r w:rsidRPr="00521017">
        <w:rPr>
          <w:rFonts w:ascii="Arial" w:hAnsi="Arial" w:cs="Arial"/>
          <w:sz w:val="22"/>
          <w:szCs w:val="22"/>
        </w:rPr>
        <w:t xml:space="preserve"> letal, </w:t>
      </w:r>
      <w:proofErr w:type="spellStart"/>
      <w:r w:rsidRPr="00521017">
        <w:rPr>
          <w:rFonts w:ascii="Arial" w:hAnsi="Arial" w:cs="Arial"/>
          <w:sz w:val="22"/>
          <w:szCs w:val="22"/>
        </w:rPr>
        <w:t>la</w:t>
      </w:r>
      <w:proofErr w:type="spellEnd"/>
      <w:r w:rsidRPr="00521017">
        <w:rPr>
          <w:rFonts w:ascii="Arial" w:hAnsi="Arial" w:cs="Arial"/>
          <w:sz w:val="22"/>
          <w:szCs w:val="22"/>
        </w:rPr>
        <w:t xml:space="preserve"> </w:t>
      </w:r>
      <w:proofErr w:type="spellStart"/>
      <w:r w:rsidRPr="00521017">
        <w:rPr>
          <w:rFonts w:ascii="Arial" w:hAnsi="Arial" w:cs="Arial"/>
          <w:sz w:val="22"/>
          <w:szCs w:val="22"/>
        </w:rPr>
        <w:t>privación</w:t>
      </w:r>
      <w:proofErr w:type="spellEnd"/>
      <w:r w:rsidRPr="00521017">
        <w:rPr>
          <w:rFonts w:ascii="Arial" w:hAnsi="Arial" w:cs="Arial"/>
          <w:sz w:val="22"/>
          <w:szCs w:val="22"/>
        </w:rPr>
        <w:t xml:space="preserve"> de </w:t>
      </w:r>
      <w:proofErr w:type="spellStart"/>
      <w:r w:rsidRPr="00521017">
        <w:rPr>
          <w:rFonts w:ascii="Arial" w:hAnsi="Arial" w:cs="Arial"/>
          <w:sz w:val="22"/>
          <w:szCs w:val="22"/>
        </w:rPr>
        <w:t>libertad</w:t>
      </w:r>
      <w:proofErr w:type="spellEnd"/>
      <w:r w:rsidRPr="00521017">
        <w:rPr>
          <w:rFonts w:ascii="Arial" w:hAnsi="Arial" w:cs="Arial"/>
          <w:sz w:val="22"/>
          <w:szCs w:val="22"/>
        </w:rPr>
        <w:t xml:space="preserve"> </w:t>
      </w:r>
      <w:proofErr w:type="spellStart"/>
      <w:r w:rsidRPr="00521017">
        <w:rPr>
          <w:rFonts w:ascii="Arial" w:hAnsi="Arial" w:cs="Arial"/>
          <w:sz w:val="22"/>
          <w:szCs w:val="22"/>
        </w:rPr>
        <w:t>sin</w:t>
      </w:r>
      <w:proofErr w:type="spellEnd"/>
      <w:r w:rsidRPr="00521017">
        <w:rPr>
          <w:rFonts w:ascii="Arial" w:hAnsi="Arial" w:cs="Arial"/>
          <w:sz w:val="22"/>
          <w:szCs w:val="22"/>
        </w:rPr>
        <w:t xml:space="preserve"> </w:t>
      </w:r>
      <w:proofErr w:type="spellStart"/>
      <w:r w:rsidRPr="00521017">
        <w:rPr>
          <w:rFonts w:ascii="Arial" w:hAnsi="Arial" w:cs="Arial"/>
          <w:sz w:val="22"/>
          <w:szCs w:val="22"/>
        </w:rPr>
        <w:t>juicio</w:t>
      </w:r>
      <w:proofErr w:type="spellEnd"/>
      <w:r w:rsidRPr="00521017">
        <w:rPr>
          <w:rFonts w:ascii="Arial" w:hAnsi="Arial" w:cs="Arial"/>
          <w:sz w:val="22"/>
          <w:szCs w:val="22"/>
        </w:rPr>
        <w:t xml:space="preserve"> </w:t>
      </w:r>
      <w:proofErr w:type="spellStart"/>
      <w:r w:rsidRPr="00521017">
        <w:rPr>
          <w:rFonts w:ascii="Arial" w:hAnsi="Arial" w:cs="Arial"/>
          <w:sz w:val="22"/>
          <w:szCs w:val="22"/>
        </w:rPr>
        <w:t>previo</w:t>
      </w:r>
      <w:proofErr w:type="spellEnd"/>
      <w:r w:rsidRPr="00521017">
        <w:rPr>
          <w:rFonts w:ascii="Arial" w:hAnsi="Arial" w:cs="Arial"/>
          <w:sz w:val="22"/>
          <w:szCs w:val="22"/>
        </w:rPr>
        <w:t xml:space="preserve">, y </w:t>
      </w:r>
      <w:proofErr w:type="spellStart"/>
      <w:r w:rsidRPr="00521017">
        <w:rPr>
          <w:rFonts w:ascii="Arial" w:hAnsi="Arial" w:cs="Arial"/>
          <w:sz w:val="22"/>
          <w:szCs w:val="22"/>
        </w:rPr>
        <w:t>la</w:t>
      </w:r>
      <w:proofErr w:type="spellEnd"/>
      <w:r w:rsidRPr="00521017">
        <w:rPr>
          <w:rFonts w:ascii="Arial" w:hAnsi="Arial" w:cs="Arial"/>
          <w:sz w:val="22"/>
          <w:szCs w:val="22"/>
        </w:rPr>
        <w:t xml:space="preserve"> </w:t>
      </w:r>
      <w:proofErr w:type="spellStart"/>
      <w:r w:rsidRPr="00521017">
        <w:rPr>
          <w:rFonts w:ascii="Arial" w:hAnsi="Arial" w:cs="Arial"/>
          <w:sz w:val="22"/>
          <w:szCs w:val="22"/>
        </w:rPr>
        <w:t>negación</w:t>
      </w:r>
      <w:proofErr w:type="spellEnd"/>
      <w:r w:rsidRPr="00521017">
        <w:rPr>
          <w:rFonts w:ascii="Arial" w:hAnsi="Arial" w:cs="Arial"/>
          <w:sz w:val="22"/>
          <w:szCs w:val="22"/>
        </w:rPr>
        <w:t xml:space="preserve"> de </w:t>
      </w:r>
      <w:proofErr w:type="spellStart"/>
      <w:r w:rsidRPr="00521017">
        <w:rPr>
          <w:rFonts w:ascii="Arial" w:hAnsi="Arial" w:cs="Arial"/>
          <w:sz w:val="22"/>
          <w:szCs w:val="22"/>
        </w:rPr>
        <w:t>la</w:t>
      </w:r>
      <w:proofErr w:type="spellEnd"/>
      <w:r w:rsidRPr="00521017">
        <w:rPr>
          <w:rFonts w:ascii="Arial" w:hAnsi="Arial" w:cs="Arial"/>
          <w:sz w:val="22"/>
          <w:szCs w:val="22"/>
        </w:rPr>
        <w:t xml:space="preserve"> </w:t>
      </w:r>
      <w:proofErr w:type="spellStart"/>
      <w:r w:rsidRPr="00521017">
        <w:rPr>
          <w:rFonts w:ascii="Arial" w:hAnsi="Arial" w:cs="Arial"/>
          <w:sz w:val="22"/>
          <w:szCs w:val="22"/>
        </w:rPr>
        <w:t>ciudadanía</w:t>
      </w:r>
      <w:proofErr w:type="spellEnd"/>
      <w:r w:rsidRPr="00521017">
        <w:rPr>
          <w:rFonts w:ascii="Arial" w:hAnsi="Arial" w:cs="Arial"/>
          <w:sz w:val="22"/>
          <w:szCs w:val="22"/>
        </w:rPr>
        <w:t xml:space="preserve"> para </w:t>
      </w:r>
      <w:proofErr w:type="spellStart"/>
      <w:r w:rsidRPr="00521017">
        <w:rPr>
          <w:rFonts w:ascii="Arial" w:hAnsi="Arial" w:cs="Arial"/>
          <w:sz w:val="22"/>
          <w:szCs w:val="22"/>
        </w:rPr>
        <w:t>poblaciones</w:t>
      </w:r>
      <w:proofErr w:type="spellEnd"/>
      <w:r w:rsidRPr="00521017">
        <w:rPr>
          <w:rFonts w:ascii="Arial" w:hAnsi="Arial" w:cs="Arial"/>
          <w:sz w:val="22"/>
          <w:szCs w:val="22"/>
        </w:rPr>
        <w:t xml:space="preserve"> </w:t>
      </w:r>
      <w:proofErr w:type="spellStart"/>
      <w:r w:rsidRPr="00521017">
        <w:rPr>
          <w:rFonts w:ascii="Arial" w:hAnsi="Arial" w:cs="Arial"/>
          <w:sz w:val="22"/>
          <w:szCs w:val="22"/>
        </w:rPr>
        <w:t>inmigrantes</w:t>
      </w:r>
      <w:proofErr w:type="spellEnd"/>
      <w:r w:rsidRPr="00521017">
        <w:rPr>
          <w:rFonts w:ascii="Arial" w:hAnsi="Arial" w:cs="Arial"/>
          <w:sz w:val="22"/>
          <w:szCs w:val="22"/>
        </w:rPr>
        <w:t xml:space="preserve"> criminalizadas </w:t>
      </w:r>
      <w:proofErr w:type="spellStart"/>
      <w:r w:rsidRPr="00521017">
        <w:rPr>
          <w:rFonts w:ascii="Arial" w:hAnsi="Arial" w:cs="Arial"/>
          <w:sz w:val="22"/>
          <w:szCs w:val="22"/>
        </w:rPr>
        <w:t>han</w:t>
      </w:r>
      <w:proofErr w:type="spellEnd"/>
      <w:r w:rsidRPr="00521017">
        <w:rPr>
          <w:rFonts w:ascii="Arial" w:hAnsi="Arial" w:cs="Arial"/>
          <w:sz w:val="22"/>
          <w:szCs w:val="22"/>
        </w:rPr>
        <w:t xml:space="preserve"> sido consideradas cada vez más </w:t>
      </w:r>
      <w:proofErr w:type="spellStart"/>
      <w:r w:rsidRPr="00521017">
        <w:rPr>
          <w:rFonts w:ascii="Arial" w:hAnsi="Arial" w:cs="Arial"/>
          <w:sz w:val="22"/>
          <w:szCs w:val="22"/>
        </w:rPr>
        <w:t>necesarias</w:t>
      </w:r>
      <w:proofErr w:type="spellEnd"/>
      <w:r w:rsidRPr="00521017">
        <w:rPr>
          <w:rFonts w:ascii="Arial" w:hAnsi="Arial" w:cs="Arial"/>
          <w:sz w:val="22"/>
          <w:szCs w:val="22"/>
        </w:rPr>
        <w:t xml:space="preserve">, o se </w:t>
      </w:r>
      <w:proofErr w:type="spellStart"/>
      <w:r w:rsidRPr="00521017">
        <w:rPr>
          <w:rFonts w:ascii="Arial" w:hAnsi="Arial" w:cs="Arial"/>
          <w:sz w:val="22"/>
          <w:szCs w:val="22"/>
        </w:rPr>
        <w:t>han</w:t>
      </w:r>
      <w:proofErr w:type="spellEnd"/>
      <w:r w:rsidRPr="00521017">
        <w:rPr>
          <w:rFonts w:ascii="Arial" w:hAnsi="Arial" w:cs="Arial"/>
          <w:sz w:val="22"/>
          <w:szCs w:val="22"/>
        </w:rPr>
        <w:t xml:space="preserve"> convertido </w:t>
      </w:r>
      <w:proofErr w:type="spellStart"/>
      <w:r w:rsidRPr="00521017">
        <w:rPr>
          <w:rFonts w:ascii="Arial" w:hAnsi="Arial" w:cs="Arial"/>
          <w:sz w:val="22"/>
          <w:szCs w:val="22"/>
        </w:rPr>
        <w:t>en</w:t>
      </w:r>
      <w:proofErr w:type="spellEnd"/>
      <w:r w:rsidRPr="00521017">
        <w:rPr>
          <w:rFonts w:ascii="Arial" w:hAnsi="Arial" w:cs="Arial"/>
          <w:sz w:val="22"/>
          <w:szCs w:val="22"/>
        </w:rPr>
        <w:t xml:space="preserve"> </w:t>
      </w:r>
      <w:proofErr w:type="spellStart"/>
      <w:r w:rsidRPr="00521017">
        <w:rPr>
          <w:rFonts w:ascii="Arial" w:hAnsi="Arial" w:cs="Arial"/>
          <w:sz w:val="22"/>
          <w:szCs w:val="22"/>
        </w:rPr>
        <w:t>las</w:t>
      </w:r>
      <w:proofErr w:type="spellEnd"/>
      <w:r w:rsidRPr="00521017">
        <w:rPr>
          <w:rFonts w:ascii="Arial" w:hAnsi="Arial" w:cs="Arial"/>
          <w:sz w:val="22"/>
          <w:szCs w:val="22"/>
        </w:rPr>
        <w:t xml:space="preserve"> </w:t>
      </w:r>
      <w:proofErr w:type="spellStart"/>
      <w:r w:rsidRPr="00521017">
        <w:rPr>
          <w:rFonts w:ascii="Arial" w:hAnsi="Arial" w:cs="Arial"/>
          <w:sz w:val="22"/>
          <w:szCs w:val="22"/>
        </w:rPr>
        <w:t>opciones</w:t>
      </w:r>
      <w:proofErr w:type="spellEnd"/>
      <w:r w:rsidRPr="00521017">
        <w:rPr>
          <w:rFonts w:ascii="Arial" w:hAnsi="Arial" w:cs="Arial"/>
          <w:sz w:val="22"/>
          <w:szCs w:val="22"/>
        </w:rPr>
        <w:t xml:space="preserve"> políticas dominantes </w:t>
      </w:r>
      <w:proofErr w:type="spellStart"/>
      <w:r w:rsidRPr="00521017">
        <w:rPr>
          <w:rFonts w:ascii="Arial" w:hAnsi="Arial" w:cs="Arial"/>
          <w:sz w:val="22"/>
          <w:szCs w:val="22"/>
        </w:rPr>
        <w:t>en</w:t>
      </w:r>
      <w:proofErr w:type="spellEnd"/>
      <w:r w:rsidRPr="00521017">
        <w:rPr>
          <w:rFonts w:ascii="Arial" w:hAnsi="Arial" w:cs="Arial"/>
          <w:sz w:val="22"/>
          <w:szCs w:val="22"/>
        </w:rPr>
        <w:t xml:space="preserve"> democracias </w:t>
      </w:r>
      <w:proofErr w:type="spellStart"/>
      <w:r w:rsidRPr="00521017">
        <w:rPr>
          <w:rFonts w:ascii="Arial" w:hAnsi="Arial" w:cs="Arial"/>
          <w:sz w:val="22"/>
          <w:szCs w:val="22"/>
        </w:rPr>
        <w:t>ya</w:t>
      </w:r>
      <w:proofErr w:type="spellEnd"/>
      <w:r w:rsidRPr="00521017">
        <w:rPr>
          <w:rFonts w:ascii="Arial" w:hAnsi="Arial" w:cs="Arial"/>
          <w:sz w:val="22"/>
          <w:szCs w:val="22"/>
        </w:rPr>
        <w:t xml:space="preserve"> </w:t>
      </w:r>
      <w:proofErr w:type="spellStart"/>
      <w:r w:rsidRPr="00521017">
        <w:rPr>
          <w:rFonts w:ascii="Arial" w:hAnsi="Arial" w:cs="Arial"/>
          <w:sz w:val="22"/>
          <w:szCs w:val="22"/>
        </w:rPr>
        <w:t>bien</w:t>
      </w:r>
      <w:proofErr w:type="spellEnd"/>
      <w:r w:rsidRPr="00521017">
        <w:rPr>
          <w:rFonts w:ascii="Arial" w:hAnsi="Arial" w:cs="Arial"/>
          <w:sz w:val="22"/>
          <w:szCs w:val="22"/>
        </w:rPr>
        <w:t xml:space="preserve"> </w:t>
      </w:r>
      <w:proofErr w:type="spellStart"/>
      <w:r w:rsidRPr="00521017">
        <w:rPr>
          <w:rFonts w:ascii="Arial" w:hAnsi="Arial" w:cs="Arial"/>
          <w:sz w:val="22"/>
          <w:szCs w:val="22"/>
        </w:rPr>
        <w:t>establecidas</w:t>
      </w:r>
      <w:proofErr w:type="spellEnd"/>
      <w:r w:rsidRPr="00521017">
        <w:rPr>
          <w:rStyle w:val="Refdenotaderodap"/>
          <w:rFonts w:ascii="Arial" w:hAnsi="Arial" w:cs="Arial"/>
          <w:sz w:val="22"/>
          <w:szCs w:val="22"/>
        </w:rPr>
        <w:footnoteReference w:id="38"/>
      </w:r>
      <w:r w:rsidRPr="00521017">
        <w:rPr>
          <w:rFonts w:ascii="Arial" w:hAnsi="Arial" w:cs="Arial"/>
          <w:sz w:val="22"/>
          <w:szCs w:val="22"/>
        </w:rPr>
        <w:t>.</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Por conta de sua importância para a configuração de um Estado democrático de direito, os princípios fundamentais produzem eficácia irradiante sobre os demais preceitos que compõe a Constituição, inclusive sobre aqueles especificamente relacionados às forças de segurança pública</w:t>
      </w:r>
      <w:r w:rsidRPr="00521017">
        <w:rPr>
          <w:rStyle w:val="Refdenotaderodap"/>
          <w:rFonts w:ascii="Arial" w:hAnsi="Arial" w:cs="Arial"/>
        </w:rPr>
        <w:footnoteReference w:id="39"/>
      </w:r>
      <w:r w:rsidRPr="00521017">
        <w:rPr>
          <w:rFonts w:ascii="Arial" w:hAnsi="Arial" w:cs="Arial"/>
        </w:rPr>
        <w:t xml:space="preserve">. </w:t>
      </w:r>
    </w:p>
    <w:p w:rsidR="00383F68" w:rsidRPr="00521017" w:rsidRDefault="00383F68" w:rsidP="00521017">
      <w:pPr>
        <w:ind w:firstLine="851"/>
        <w:jc w:val="both"/>
        <w:rPr>
          <w:rFonts w:ascii="Arial" w:hAnsi="Arial" w:cs="Arial"/>
        </w:rPr>
      </w:pPr>
      <w:r w:rsidRPr="00521017">
        <w:rPr>
          <w:rFonts w:ascii="Arial" w:hAnsi="Arial" w:cs="Arial"/>
        </w:rPr>
        <w:t>Considera-se ordem pública, objeto da segurança pública, a situação de convivência pacífica e harmoniosa da população, fundada em princípios de natureza ética dotados de eficácia. A ordem pública se exterioriza quando as instituições policiais, principalmente por meio de ações ostensivas e predominantemente preventivas, garantem os direitos dos cidadãos à vida harmônica e pacífica em sociedade</w:t>
      </w:r>
      <w:r w:rsidRPr="00521017">
        <w:rPr>
          <w:rStyle w:val="Refdenotaderodap"/>
          <w:rFonts w:ascii="Arial" w:hAnsi="Arial" w:cs="Arial"/>
        </w:rPr>
        <w:footnoteReference w:id="40"/>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A tensão permanente entre esses dois blocos antagônicos – poder/autoridade/ prerrogativas versus liberdade/garantias/sujeições – sedimenta um consenso no sentido de que é justamente este binômio que se mostra capaz de especializar este ramo de estudo peculiar que engloba o Direito Administrativo</w:t>
      </w:r>
      <w:r w:rsidRPr="00521017">
        <w:rPr>
          <w:rStyle w:val="Refdenotaderodap"/>
          <w:rFonts w:ascii="Arial" w:hAnsi="Arial" w:cs="Arial"/>
        </w:rPr>
        <w:footnoteReference w:id="41"/>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Por essa razão, apenas as políticas de segurança pública alicerçadas em concepções democráticas, comprometidas com a observância efetiva desses princípios, são compatíveis com os Direitos Humanos, e o esforço de investimento primeiro deve ser realizado nos integrantes destas forças.</w:t>
      </w:r>
    </w:p>
    <w:p w:rsidR="00383F68" w:rsidRPr="00521017" w:rsidRDefault="00383F68" w:rsidP="00521017">
      <w:pPr>
        <w:ind w:firstLine="851"/>
        <w:jc w:val="both"/>
        <w:rPr>
          <w:rFonts w:ascii="Arial" w:hAnsi="Arial" w:cs="Arial"/>
        </w:rPr>
      </w:pPr>
      <w:r w:rsidRPr="00521017">
        <w:rPr>
          <w:rFonts w:ascii="Arial" w:hAnsi="Arial" w:cs="Arial"/>
        </w:rPr>
        <w:t>A agenda estatal democrática, conforme preleciona Juarez FREITAS, deve buscar o direito fundamental à sustentabilidade multidimensional, incluso nesse conceito o direito à segurança pública de qualidade</w:t>
      </w:r>
      <w:r w:rsidRPr="00521017">
        <w:rPr>
          <w:rStyle w:val="Refdenotaderodap"/>
          <w:rFonts w:ascii="Arial" w:hAnsi="Arial" w:cs="Arial"/>
        </w:rPr>
        <w:footnoteReference w:id="42"/>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Para o referido autor, o princípio da sustentabilidade é princípio constitucional implícito e deve regular o poder estatal de forma cogente, diz ele:</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lastRenderedPageBreak/>
        <w:t>(...) trata-se do princípio constitucional que determina, independentemente de regulamentação legal, com eficácia direta e imediata, a responsabilidade do Estado e da sociedade pela concretização solidária do desenvolvimento material e imaterial, socialmente inclusivo, durável e equânime, ambientalmente limpo, inovador, ético e eficiente, no intuito de assegurar, preferencialmente de modo produtivo e precavido, no presente e no futuro, o direito ao bem-estar físico, psíquico e espiritual, em consonância homeostática com o bem de todos</w:t>
      </w:r>
      <w:r w:rsidRPr="00521017">
        <w:rPr>
          <w:rStyle w:val="Refdenotaderodap"/>
          <w:rFonts w:ascii="Arial" w:hAnsi="Arial" w:cs="Arial"/>
          <w:sz w:val="22"/>
          <w:szCs w:val="22"/>
        </w:rPr>
        <w:footnoteReference w:id="43"/>
      </w:r>
      <w:r w:rsidRPr="00521017">
        <w:rPr>
          <w:rFonts w:ascii="Arial" w:hAnsi="Arial" w:cs="Arial"/>
          <w:sz w:val="22"/>
          <w:szCs w:val="22"/>
        </w:rPr>
        <w:t>.</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 xml:space="preserve">A dimensão social da sustentabilidade se expressa com base nos direitos fundamentais sociais, com os correspondentes programas relacionados à saúde, à educação, e à segurança (serviços públicos por excelência), que precisam ser obrigatoriamente universalizados com eficiência e eficácia, </w:t>
      </w:r>
      <w:proofErr w:type="gramStart"/>
      <w:r w:rsidRPr="00521017">
        <w:rPr>
          <w:rFonts w:ascii="Arial" w:hAnsi="Arial" w:cs="Arial"/>
        </w:rPr>
        <w:t>sob pena</w:t>
      </w:r>
      <w:proofErr w:type="gramEnd"/>
      <w:r w:rsidRPr="00521017">
        <w:rPr>
          <w:rFonts w:ascii="Arial" w:hAnsi="Arial" w:cs="Arial"/>
        </w:rPr>
        <w:t xml:space="preserve"> de o modelo de gestão ser autofágico, ou seja, insustentável.</w:t>
      </w:r>
    </w:p>
    <w:p w:rsidR="00383F68" w:rsidRPr="00521017" w:rsidRDefault="00383F68" w:rsidP="00521017">
      <w:pPr>
        <w:ind w:firstLine="851"/>
        <w:jc w:val="both"/>
        <w:rPr>
          <w:rFonts w:ascii="Arial" w:hAnsi="Arial" w:cs="Arial"/>
        </w:rPr>
      </w:pPr>
      <w:r w:rsidRPr="00521017">
        <w:rPr>
          <w:rFonts w:ascii="Arial" w:hAnsi="Arial" w:cs="Arial"/>
        </w:rPr>
        <w:t xml:space="preserve">A carta constitucional, no seu art. 144, concebeu como finalidade das políticas de segurança a preservação da “incolumidade das pessoas e do patrimônio”. Por outro lado, manteve parte importante da polícia militarizada. Embora subordinadas aos governadores dos Estados, as polícias militares estaduais continuam previstas como “forças auxiliares e reservas do Exército” (art. 144, §5º, CRFB). </w:t>
      </w:r>
    </w:p>
    <w:p w:rsidR="00383F68" w:rsidRPr="00521017" w:rsidRDefault="00383F68" w:rsidP="00521017">
      <w:pPr>
        <w:ind w:firstLine="851"/>
        <w:jc w:val="both"/>
        <w:rPr>
          <w:rFonts w:ascii="Arial" w:hAnsi="Arial" w:cs="Arial"/>
        </w:rPr>
      </w:pPr>
      <w:r w:rsidRPr="00521017">
        <w:rPr>
          <w:rFonts w:ascii="Arial" w:hAnsi="Arial" w:cs="Arial"/>
        </w:rPr>
        <w:t>O Decreto-lei nº 667/69 (que trata da “reorganização” das Polícias Militares e os Corpos de Bombeiros Militares dos Estados, dos Territórios e do Distrito Federal) esmiúça as competências das polícias militares:</w:t>
      </w:r>
    </w:p>
    <w:p w:rsidR="00383F68" w:rsidRPr="00521017" w:rsidRDefault="00383F68" w:rsidP="00521017">
      <w:pPr>
        <w:ind w:left="851"/>
        <w:jc w:val="both"/>
        <w:rPr>
          <w:rFonts w:ascii="Arial" w:hAnsi="Arial" w:cs="Arial"/>
        </w:rPr>
      </w:pP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Art. 3º - Instituídas para a manutenção da ordem pública e segurança interna nos Estados, nos Territórios e no Distrito Federal, compete às Polícias Militares, no âmbito de suas respectivas jurisdições: </w:t>
      </w: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 a) executar com exclusividade, ressalvadas as missões peculiares das Forças Armadas, o policiamento ostensivo, fardado, planejado pela autoridade competente, a fim de assegurar o cumprimento da lei, a manutenção da ordem pública e o exercício dos poderes constituídos;     </w:t>
      </w: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b) atuar de maneira preventiva, como força de dissuasão, em locais ou áreas específicas, onde se presuma ser possível a perturbação da ordem; </w:t>
      </w: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c) atuar de maneira repressiva, em caso de perturbação da ordem, precedendo o eventual emprego das Forças Armadas;</w:t>
      </w: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d) atender à convocação, inclusive mobilização, do Governo Federal em caso de guerra externa ou para prevenir ou reprimir grave perturbação da ordem ou ameaça de sua irrupção, subordinando-se à Força Terrestre para emprego em suas atribuições específicas de polícia militar e como participante da Defesa Interna e da Defesa Territorial;</w:t>
      </w:r>
    </w:p>
    <w:p w:rsidR="00383F68" w:rsidRPr="00521017" w:rsidRDefault="00383F68" w:rsidP="00521017">
      <w:pPr>
        <w:ind w:left="851"/>
        <w:jc w:val="both"/>
        <w:rPr>
          <w:rFonts w:ascii="Arial" w:hAnsi="Arial" w:cs="Arial"/>
          <w:sz w:val="22"/>
          <w:szCs w:val="22"/>
        </w:rPr>
      </w:pPr>
      <w:r w:rsidRPr="00521017">
        <w:rPr>
          <w:rFonts w:ascii="Arial" w:hAnsi="Arial" w:cs="Arial"/>
          <w:sz w:val="22"/>
          <w:szCs w:val="22"/>
        </w:rPr>
        <w:t xml:space="preserve">e) além dos casos previstos na letra anterior, a Polícia Militar poderá ser convocada, em seu conjunto, a fim de assegurar à Corporação o nível necessário de adestramento e disciplina ou ainda para garantir o cumprimento das disposições deste Decreto-lei, na forma que dispuser o regulamento específico.   </w:t>
      </w:r>
    </w:p>
    <w:p w:rsidR="00383F68" w:rsidRPr="00521017" w:rsidRDefault="00383F68" w:rsidP="00521017">
      <w:pPr>
        <w:ind w:left="851"/>
        <w:jc w:val="both"/>
        <w:rPr>
          <w:rFonts w:ascii="Arial" w:hAnsi="Arial" w:cs="Arial"/>
        </w:rPr>
      </w:pPr>
    </w:p>
    <w:p w:rsidR="00383F68" w:rsidRPr="00521017" w:rsidRDefault="00383F68" w:rsidP="00521017">
      <w:pPr>
        <w:ind w:firstLine="851"/>
        <w:jc w:val="both"/>
        <w:rPr>
          <w:rFonts w:ascii="Arial" w:hAnsi="Arial" w:cs="Arial"/>
        </w:rPr>
      </w:pPr>
      <w:r w:rsidRPr="00521017">
        <w:rPr>
          <w:rFonts w:ascii="Arial" w:hAnsi="Arial" w:cs="Arial"/>
        </w:rPr>
        <w:t>Instituições incumbidas da missão de policiamento ostensivo e da preservação da ordem pública que se organizam em conformidade com os princípios da hierarquia e da disciplina</w:t>
      </w:r>
      <w:r w:rsidRPr="00521017">
        <w:rPr>
          <w:rStyle w:val="Refdenotaderodap"/>
          <w:rFonts w:ascii="Arial" w:hAnsi="Arial" w:cs="Arial"/>
        </w:rPr>
        <w:footnoteReference w:id="44"/>
      </w:r>
      <w:r w:rsidRPr="00521017">
        <w:rPr>
          <w:rFonts w:ascii="Arial" w:hAnsi="Arial" w:cs="Arial"/>
        </w:rPr>
        <w:t xml:space="preserve">, possuem sistema de patentes análogo ao que vigora </w:t>
      </w:r>
      <w:r w:rsidRPr="00521017">
        <w:rPr>
          <w:rFonts w:ascii="Arial" w:hAnsi="Arial" w:cs="Arial"/>
        </w:rPr>
        <w:lastRenderedPageBreak/>
        <w:t>nas Forças Armadas. O regime jurídico a que se submetem é semelhante ao das Forças Armadas, assim como a forma de organização e a estrutura hierárquica</w:t>
      </w:r>
      <w:r w:rsidRPr="00521017">
        <w:rPr>
          <w:rStyle w:val="Refdenotaderodap"/>
          <w:rFonts w:ascii="Arial" w:hAnsi="Arial" w:cs="Arial"/>
        </w:rPr>
        <w:footnoteReference w:id="45"/>
      </w:r>
      <w:r w:rsidRPr="00521017">
        <w:rPr>
          <w:rFonts w:ascii="Arial" w:hAnsi="Arial" w:cs="Arial"/>
        </w:rPr>
        <w:t>.</w:t>
      </w:r>
    </w:p>
    <w:p w:rsidR="00383F68" w:rsidRPr="00521017" w:rsidRDefault="00383F68" w:rsidP="00521017">
      <w:pPr>
        <w:ind w:firstLine="851"/>
        <w:jc w:val="both"/>
        <w:rPr>
          <w:rFonts w:ascii="Arial" w:hAnsi="Arial" w:cs="Arial"/>
        </w:rPr>
      </w:pPr>
      <w:r w:rsidRPr="00521017">
        <w:rPr>
          <w:rFonts w:ascii="Arial" w:hAnsi="Arial" w:cs="Arial"/>
        </w:rPr>
        <w:t>Adequar estas instituições nascidas com o Estado Moderno, permeadas de resquícios arcaicos, com os princípios democráticos e de forma sustentável não é tarefa singela, mas também não se revela impossível.</w:t>
      </w:r>
    </w:p>
    <w:p w:rsidR="00521017" w:rsidRPr="00521017" w:rsidRDefault="00521017" w:rsidP="00521017">
      <w:pPr>
        <w:ind w:firstLine="851"/>
        <w:jc w:val="both"/>
        <w:rPr>
          <w:rFonts w:ascii="Arial" w:hAnsi="Arial" w:cs="Arial"/>
        </w:rPr>
      </w:pPr>
      <w:r w:rsidRPr="00521017">
        <w:rPr>
          <w:rFonts w:ascii="Arial" w:hAnsi="Arial" w:cs="Arial"/>
        </w:rPr>
        <w:t xml:space="preserve">A organização em estudo, as polícias militares, como sendo um aparelho repressivo de Estado atravessado pelas contradições inerentes à realidade social onde está incrustada, não pode ser tratada como “um corpo de funcionários e de pessoal de estado unitário e cimentado em torno de uma vontade política unívoca, pelo contrário, </w:t>
      </w:r>
      <w:proofErr w:type="gramStart"/>
      <w:r w:rsidRPr="00521017">
        <w:rPr>
          <w:rFonts w:ascii="Arial" w:hAnsi="Arial" w:cs="Arial"/>
        </w:rPr>
        <w:t>lida-se</w:t>
      </w:r>
      <w:proofErr w:type="gramEnd"/>
      <w:r w:rsidRPr="00521017">
        <w:rPr>
          <w:rFonts w:ascii="Arial" w:hAnsi="Arial" w:cs="Arial"/>
        </w:rPr>
        <w:t xml:space="preserve"> com feudos, clãs, diferentes facções, em suma com uma multidão de micropolíticas diversificadas”</w:t>
      </w:r>
      <w:r w:rsidRPr="00521017">
        <w:rPr>
          <w:rStyle w:val="Refdenotaderodap"/>
          <w:rFonts w:ascii="Arial" w:hAnsi="Arial" w:cs="Arial"/>
        </w:rPr>
        <w:footnoteReference w:id="46"/>
      </w:r>
      <w:r w:rsidRPr="00521017">
        <w:rPr>
          <w:rFonts w:ascii="Arial" w:hAnsi="Arial" w:cs="Arial"/>
        </w:rPr>
        <w:t xml:space="preserve"> que devem ter voz.</w:t>
      </w:r>
    </w:p>
    <w:p w:rsidR="00521017" w:rsidRPr="00521017" w:rsidRDefault="00521017" w:rsidP="00521017">
      <w:pPr>
        <w:ind w:firstLine="851"/>
        <w:jc w:val="both"/>
        <w:rPr>
          <w:rFonts w:ascii="Arial" w:hAnsi="Arial" w:cs="Arial"/>
        </w:rPr>
      </w:pPr>
      <w:r w:rsidRPr="00521017">
        <w:rPr>
          <w:rFonts w:ascii="Arial" w:hAnsi="Arial" w:cs="Arial"/>
        </w:rPr>
        <w:t>A ideologia institucional da polícia espera muito de seus profissionais, porém nem sempre exercita a comunicação com seus agentes. Somente sua inserção na discussão de suas rotinas laborais poderá mudar esse quadro de desvalorização profissional.</w:t>
      </w:r>
    </w:p>
    <w:p w:rsidR="00521017" w:rsidRPr="00521017" w:rsidRDefault="00521017" w:rsidP="00521017">
      <w:pPr>
        <w:ind w:firstLine="851"/>
        <w:jc w:val="both"/>
        <w:rPr>
          <w:rFonts w:ascii="Arial" w:hAnsi="Arial" w:cs="Arial"/>
        </w:rPr>
      </w:pPr>
      <w:r w:rsidRPr="00521017">
        <w:rPr>
          <w:rFonts w:ascii="Arial" w:hAnsi="Arial" w:cs="Arial"/>
        </w:rPr>
        <w:t xml:space="preserve">A desvalorização repercute nas percepções subjetivas dos policiais, conforme infere </w:t>
      </w:r>
      <w:proofErr w:type="gramStart"/>
      <w:r w:rsidRPr="00521017">
        <w:rPr>
          <w:rFonts w:ascii="Arial" w:hAnsi="Arial" w:cs="Arial"/>
        </w:rPr>
        <w:t>Susana DURÃO</w:t>
      </w:r>
      <w:proofErr w:type="gramEnd"/>
      <w:r w:rsidRPr="00521017">
        <w:rPr>
          <w:rFonts w:ascii="Arial" w:hAnsi="Arial" w:cs="Arial"/>
        </w:rPr>
        <w:t>:</w:t>
      </w:r>
    </w:p>
    <w:p w:rsidR="00521017" w:rsidRPr="00521017" w:rsidRDefault="00521017" w:rsidP="00521017">
      <w:pPr>
        <w:ind w:firstLine="851"/>
        <w:jc w:val="both"/>
        <w:rPr>
          <w:rFonts w:ascii="Arial" w:hAnsi="Arial" w:cs="Arial"/>
        </w:rPr>
      </w:pPr>
    </w:p>
    <w:p w:rsidR="00521017" w:rsidRPr="00521017" w:rsidRDefault="00521017" w:rsidP="00521017">
      <w:pPr>
        <w:ind w:left="851"/>
        <w:jc w:val="both"/>
        <w:rPr>
          <w:rFonts w:ascii="Arial" w:hAnsi="Arial" w:cs="Arial"/>
          <w:sz w:val="22"/>
          <w:szCs w:val="22"/>
        </w:rPr>
      </w:pPr>
      <w:r w:rsidRPr="00521017">
        <w:rPr>
          <w:rFonts w:ascii="Arial" w:hAnsi="Arial" w:cs="Arial"/>
          <w:sz w:val="22"/>
          <w:szCs w:val="22"/>
        </w:rPr>
        <w:t xml:space="preserve">Algumas expressões orais ilustram as percepções subjetivas destes profissionais e sublinham uma situação de desvalorização do seu trabalho de rotina no contexto contemporâneo do policiamento. Por exemplo, em várias ocasiões, ironicamente, os agentes chamam uns aos outros de “Zé Patrulha” ou “Zé Polícia”, deriva de “Zé Ninguém”. Estes dizem frequentemente: “Nós aqui na polícia somos números, somos tratados como número”. Cedo na carreira, os agentes manifestam o desejo de “fugir da patrulha”, onde dizem que pouco pode </w:t>
      </w:r>
      <w:proofErr w:type="gramStart"/>
      <w:r w:rsidRPr="00521017">
        <w:rPr>
          <w:rFonts w:ascii="Arial" w:hAnsi="Arial" w:cs="Arial"/>
          <w:sz w:val="22"/>
          <w:szCs w:val="22"/>
        </w:rPr>
        <w:t>fazer,</w:t>
      </w:r>
      <w:proofErr w:type="gramEnd"/>
      <w:r w:rsidRPr="00521017">
        <w:rPr>
          <w:rFonts w:ascii="Arial" w:hAnsi="Arial" w:cs="Arial"/>
          <w:sz w:val="22"/>
          <w:szCs w:val="22"/>
        </w:rPr>
        <w:t xml:space="preserve"> nada pode inovar, onde defendem não nutrir reconhecimento profissional (...). Outras expressões recorrentes são: “Ser policial é difícil, somo pequenos”, “Ninguém dá nada ao Zé Polícia</w:t>
      </w:r>
      <w:proofErr w:type="gramStart"/>
      <w:r w:rsidRPr="00521017">
        <w:rPr>
          <w:rFonts w:ascii="Arial" w:hAnsi="Arial" w:cs="Arial"/>
          <w:sz w:val="22"/>
          <w:szCs w:val="22"/>
        </w:rPr>
        <w:t>”</w:t>
      </w:r>
      <w:proofErr w:type="gramEnd"/>
      <w:r w:rsidRPr="00521017">
        <w:rPr>
          <w:rStyle w:val="Refdenotaderodap"/>
          <w:rFonts w:ascii="Arial" w:hAnsi="Arial" w:cs="Arial"/>
          <w:sz w:val="22"/>
          <w:szCs w:val="22"/>
        </w:rPr>
        <w:footnoteReference w:id="47"/>
      </w:r>
      <w:r w:rsidRPr="00521017">
        <w:rPr>
          <w:rFonts w:ascii="Arial" w:hAnsi="Arial" w:cs="Arial"/>
          <w:sz w:val="22"/>
          <w:szCs w:val="22"/>
        </w:rPr>
        <w:t xml:space="preserve">.  </w:t>
      </w:r>
    </w:p>
    <w:p w:rsidR="00521017" w:rsidRPr="00521017" w:rsidRDefault="00521017" w:rsidP="00521017">
      <w:pPr>
        <w:ind w:firstLine="851"/>
        <w:jc w:val="both"/>
        <w:rPr>
          <w:rFonts w:ascii="Arial" w:hAnsi="Arial" w:cs="Arial"/>
        </w:rPr>
      </w:pPr>
    </w:p>
    <w:p w:rsidR="00521017" w:rsidRPr="00521017" w:rsidRDefault="00521017" w:rsidP="00521017">
      <w:pPr>
        <w:ind w:firstLine="851"/>
        <w:jc w:val="both"/>
        <w:rPr>
          <w:rFonts w:ascii="Arial" w:hAnsi="Arial" w:cs="Arial"/>
        </w:rPr>
      </w:pPr>
      <w:r w:rsidRPr="00521017">
        <w:rPr>
          <w:rFonts w:ascii="Arial" w:hAnsi="Arial" w:cs="Arial"/>
        </w:rPr>
        <w:t>E a dificuldade de implantação de uma política pública de segurança perpassa por este evidência.</w:t>
      </w:r>
      <w:r w:rsidRPr="00521017">
        <w:rPr>
          <w:rFonts w:ascii="Arial" w:hAnsi="Arial" w:cs="Arial"/>
        </w:rPr>
        <w:t xml:space="preserve"> </w:t>
      </w:r>
      <w:r w:rsidRPr="00521017">
        <w:rPr>
          <w:rFonts w:ascii="Arial" w:hAnsi="Arial" w:cs="Arial"/>
        </w:rPr>
        <w:t xml:space="preserve">Todo processo de implementação de uma política pública </w:t>
      </w:r>
      <w:r w:rsidRPr="00521017">
        <w:rPr>
          <w:rFonts w:ascii="Arial" w:hAnsi="Arial" w:cs="Arial"/>
        </w:rPr>
        <w:t xml:space="preserve">evidencia </w:t>
      </w:r>
      <w:r w:rsidRPr="00521017">
        <w:rPr>
          <w:rFonts w:ascii="Arial" w:hAnsi="Arial" w:cs="Arial"/>
        </w:rPr>
        <w:t xml:space="preserve">uma dinâmica de relacionamento entre os usuários e os burocratas implementadores, que por meio das heranças de valores, crenças e ideias transformam o modo como </w:t>
      </w:r>
      <w:proofErr w:type="gramStart"/>
      <w:r w:rsidRPr="00521017">
        <w:rPr>
          <w:rFonts w:ascii="Arial" w:hAnsi="Arial" w:cs="Arial"/>
        </w:rPr>
        <w:t>as</w:t>
      </w:r>
      <w:proofErr w:type="gramEnd"/>
      <w:r w:rsidRPr="00521017">
        <w:rPr>
          <w:rFonts w:ascii="Arial" w:hAnsi="Arial" w:cs="Arial"/>
        </w:rPr>
        <w:t xml:space="preserve"> políticas foram concebidas.</w:t>
      </w:r>
    </w:p>
    <w:p w:rsidR="00521017" w:rsidRPr="00521017" w:rsidRDefault="00521017" w:rsidP="00521017">
      <w:pPr>
        <w:ind w:firstLine="851"/>
        <w:jc w:val="both"/>
        <w:rPr>
          <w:rFonts w:ascii="Arial" w:hAnsi="Arial" w:cs="Arial"/>
        </w:rPr>
      </w:pPr>
      <w:r w:rsidRPr="00521017">
        <w:rPr>
          <w:rFonts w:ascii="Arial" w:hAnsi="Arial" w:cs="Arial"/>
        </w:rPr>
        <w:t xml:space="preserve">As decisões tomadas pelos burocratas de nível de rua, as rotinas que eles estabelecem e as ferramentas que eles inventam para lidar com as incertezas e as pressões de seu trabalho efetivamente tornam-se as próprias políticas públicas que </w:t>
      </w:r>
      <w:r w:rsidRPr="00521017">
        <w:rPr>
          <w:rFonts w:ascii="Arial" w:hAnsi="Arial" w:cs="Arial"/>
        </w:rPr>
        <w:lastRenderedPageBreak/>
        <w:t>eles desenvolvem, podendo guiar o sucesso ou o insucesso de um modelo previamente estabelecido</w:t>
      </w:r>
      <w:r w:rsidRPr="00521017">
        <w:rPr>
          <w:rStyle w:val="Refdenotaderodap"/>
          <w:rFonts w:ascii="Arial" w:hAnsi="Arial" w:cs="Arial"/>
        </w:rPr>
        <w:footnoteReference w:id="48"/>
      </w:r>
      <w:r w:rsidRPr="00521017">
        <w:rPr>
          <w:rFonts w:ascii="Arial" w:hAnsi="Arial" w:cs="Arial"/>
        </w:rPr>
        <w:t>.</w:t>
      </w:r>
    </w:p>
    <w:p w:rsidR="00521017" w:rsidRPr="00521017" w:rsidRDefault="00521017" w:rsidP="00521017">
      <w:pPr>
        <w:ind w:firstLine="851"/>
        <w:jc w:val="both"/>
        <w:rPr>
          <w:rFonts w:ascii="Arial" w:hAnsi="Arial" w:cs="Arial"/>
        </w:rPr>
      </w:pPr>
      <w:r w:rsidRPr="00521017">
        <w:rPr>
          <w:rFonts w:ascii="Arial" w:hAnsi="Arial" w:cs="Arial"/>
        </w:rPr>
        <w:t>O servidor público é o sujeito que media a relação entre o Estado e o cidadão cotidianamente, é a face que a Administração apresenta aos seus administrados. É através do servidor que a Administração se apresenta à vida do cidadão</w:t>
      </w:r>
      <w:r w:rsidRPr="00521017">
        <w:rPr>
          <w:rStyle w:val="Refdenotaderodap"/>
          <w:rFonts w:ascii="Arial" w:hAnsi="Arial" w:cs="Arial"/>
        </w:rPr>
        <w:footnoteReference w:id="49"/>
      </w:r>
      <w:r w:rsidRPr="00521017">
        <w:rPr>
          <w:rFonts w:ascii="Arial" w:hAnsi="Arial" w:cs="Arial"/>
        </w:rPr>
        <w:t>.</w:t>
      </w:r>
    </w:p>
    <w:p w:rsidR="00521017" w:rsidRPr="00521017" w:rsidRDefault="00521017" w:rsidP="00521017">
      <w:pPr>
        <w:ind w:firstLine="851"/>
        <w:jc w:val="both"/>
        <w:rPr>
          <w:rFonts w:ascii="Arial" w:hAnsi="Arial" w:cs="Arial"/>
        </w:rPr>
      </w:pPr>
      <w:r w:rsidRPr="00521017">
        <w:rPr>
          <w:rFonts w:ascii="Arial" w:hAnsi="Arial" w:cs="Arial"/>
        </w:rPr>
        <w:t xml:space="preserve">O cerceamento de direitos sociais básicos aos policiais militares, como </w:t>
      </w:r>
      <w:proofErr w:type="gramStart"/>
      <w:r w:rsidRPr="00521017">
        <w:rPr>
          <w:rFonts w:ascii="Arial" w:hAnsi="Arial" w:cs="Arial"/>
        </w:rPr>
        <w:t>por exemplo</w:t>
      </w:r>
      <w:proofErr w:type="gramEnd"/>
      <w:r w:rsidRPr="00521017">
        <w:rPr>
          <w:rFonts w:ascii="Arial" w:hAnsi="Arial" w:cs="Arial"/>
        </w:rPr>
        <w:t xml:space="preserve"> </w:t>
      </w:r>
      <w:r w:rsidRPr="00521017">
        <w:rPr>
          <w:rFonts w:ascii="Arial" w:hAnsi="Arial" w:cs="Arial"/>
        </w:rPr>
        <w:t>o direito de greve e de sindicalização, ou até mesmo, em casos mais emblemáticos, o desrespeito à garantia ao direito de livre manifestação, parece causar impacto visível sobre as práticas de policiamento.</w:t>
      </w:r>
    </w:p>
    <w:p w:rsidR="00521017" w:rsidRPr="00521017" w:rsidRDefault="00521017" w:rsidP="00521017">
      <w:pPr>
        <w:ind w:firstLine="851"/>
        <w:jc w:val="both"/>
        <w:rPr>
          <w:rFonts w:ascii="Arial" w:hAnsi="Arial" w:cs="Arial"/>
        </w:rPr>
      </w:pPr>
      <w:r w:rsidRPr="00521017">
        <w:rPr>
          <w:rFonts w:ascii="Arial" w:hAnsi="Arial" w:cs="Arial"/>
        </w:rPr>
        <w:t xml:space="preserve">Reflexões referentes aos direitos dessa categoria de trabalhadores, que estão na linha de frente, “no nível de rua”, na ponta do processo de construção de política públicas, podem ajudar na compreensão de por que alguns impasses na </w:t>
      </w:r>
      <w:proofErr w:type="gramStart"/>
      <w:r w:rsidRPr="00521017">
        <w:rPr>
          <w:rFonts w:ascii="Arial" w:hAnsi="Arial" w:cs="Arial"/>
        </w:rPr>
        <w:t>implementação</w:t>
      </w:r>
      <w:proofErr w:type="gramEnd"/>
      <w:r w:rsidRPr="00521017">
        <w:rPr>
          <w:rFonts w:ascii="Arial" w:hAnsi="Arial" w:cs="Arial"/>
        </w:rPr>
        <w:t xml:space="preserve"> das políticas públicas não são superados.</w:t>
      </w:r>
    </w:p>
    <w:p w:rsidR="00521017" w:rsidRPr="00521017" w:rsidRDefault="00521017" w:rsidP="00521017">
      <w:pPr>
        <w:ind w:firstLine="851"/>
        <w:jc w:val="both"/>
        <w:rPr>
          <w:rFonts w:ascii="Arial" w:hAnsi="Arial" w:cs="Arial"/>
        </w:rPr>
      </w:pPr>
      <w:r w:rsidRPr="00521017">
        <w:rPr>
          <w:rFonts w:ascii="Arial" w:hAnsi="Arial" w:cs="Arial"/>
        </w:rPr>
        <w:t>Mais do que frutos de decisões tomadas em altos escalões estatais, as políticas públicas de segurança também são resultado do trabalho nas centrais 190 e nos encontros diários entre policiais e a população, resolvendo conflitos fundamentalmente sociais.</w:t>
      </w:r>
    </w:p>
    <w:p w:rsidR="00521017" w:rsidRDefault="00521017" w:rsidP="00521017">
      <w:pPr>
        <w:ind w:firstLine="851"/>
        <w:jc w:val="both"/>
        <w:rPr>
          <w:rFonts w:ascii="Arial" w:hAnsi="Arial" w:cs="Arial"/>
        </w:rPr>
      </w:pPr>
      <w:r w:rsidRPr="00521017">
        <w:rPr>
          <w:rFonts w:ascii="Arial" w:hAnsi="Arial" w:cs="Arial"/>
        </w:rPr>
        <w:t xml:space="preserve">Esta visão converge, portanto, na importância de buscar compreender a relação nem sempre amistosa entre o universo das ações formais (regime jurídico, valores éticos singulares) e as ações informais que estão presentes nos processos de manifestações sociais, especialmente das praças, pela busca de concessão de direitos. </w:t>
      </w:r>
    </w:p>
    <w:p w:rsidR="003839D0" w:rsidRDefault="003839D0" w:rsidP="003839D0">
      <w:pPr>
        <w:ind w:firstLine="851"/>
        <w:jc w:val="both"/>
        <w:rPr>
          <w:rFonts w:ascii="Arial" w:hAnsi="Arial" w:cs="Arial"/>
        </w:rPr>
      </w:pPr>
      <w:r w:rsidRPr="006C64E0">
        <w:rPr>
          <w:rFonts w:ascii="Arial" w:hAnsi="Arial" w:cs="Arial"/>
        </w:rPr>
        <w:t xml:space="preserve">Muitos sustentam a conveniência de se extinguir as polícias militares sob o argumento de que se trata de instituição incompatível com a concepção democrática de segurança pública. A militarização da polícia levaria à conformação de um modelo bélico de política de segurança. </w:t>
      </w:r>
    </w:p>
    <w:p w:rsidR="003839D0" w:rsidRPr="006C64E0" w:rsidRDefault="003839D0" w:rsidP="003839D0">
      <w:pPr>
        <w:ind w:firstLine="851"/>
        <w:jc w:val="both"/>
        <w:rPr>
          <w:rFonts w:ascii="Arial" w:hAnsi="Arial" w:cs="Arial"/>
        </w:rPr>
      </w:pPr>
      <w:r>
        <w:rPr>
          <w:rFonts w:ascii="Arial" w:hAnsi="Arial" w:cs="Arial"/>
        </w:rPr>
        <w:t xml:space="preserve">As </w:t>
      </w:r>
      <w:r w:rsidRPr="00B47CBE">
        <w:rPr>
          <w:rFonts w:ascii="Arial" w:hAnsi="Arial" w:cs="Arial"/>
        </w:rPr>
        <w:t xml:space="preserve">dimensões de militarização das polícias </w:t>
      </w:r>
      <w:r>
        <w:rPr>
          <w:rFonts w:ascii="Arial" w:hAnsi="Arial" w:cs="Arial"/>
        </w:rPr>
        <w:t>se revelam pela: (1)</w:t>
      </w:r>
      <w:r w:rsidRPr="00B47CBE">
        <w:rPr>
          <w:rFonts w:ascii="Arial" w:hAnsi="Arial" w:cs="Arial"/>
        </w:rPr>
        <w:t xml:space="preserve"> </w:t>
      </w:r>
      <w:r>
        <w:rPr>
          <w:rFonts w:ascii="Arial" w:hAnsi="Arial" w:cs="Arial"/>
        </w:rPr>
        <w:t>o</w:t>
      </w:r>
      <w:r w:rsidRPr="00B47CBE">
        <w:rPr>
          <w:rFonts w:ascii="Arial" w:hAnsi="Arial" w:cs="Arial"/>
        </w:rPr>
        <w:t xml:space="preserve">rganização: </w:t>
      </w:r>
      <w:r>
        <w:rPr>
          <w:rFonts w:ascii="Arial" w:hAnsi="Arial" w:cs="Arial"/>
        </w:rPr>
        <w:t>a</w:t>
      </w:r>
      <w:r w:rsidRPr="00B47CBE">
        <w:rPr>
          <w:rFonts w:ascii="Arial" w:hAnsi="Arial" w:cs="Arial"/>
        </w:rPr>
        <w:t xml:space="preserve"> polícia absorve modelos</w:t>
      </w:r>
      <w:r>
        <w:rPr>
          <w:rFonts w:ascii="Arial" w:hAnsi="Arial" w:cs="Arial"/>
        </w:rPr>
        <w:t xml:space="preserve"> </w:t>
      </w:r>
      <w:r w:rsidRPr="00B47CBE">
        <w:rPr>
          <w:rFonts w:ascii="Arial" w:hAnsi="Arial" w:cs="Arial"/>
        </w:rPr>
        <w:t>organizacionais, símbolos</w:t>
      </w:r>
      <w:r>
        <w:rPr>
          <w:rFonts w:ascii="Arial" w:hAnsi="Arial" w:cs="Arial"/>
        </w:rPr>
        <w:t>, valores</w:t>
      </w:r>
      <w:r w:rsidRPr="00B47CBE">
        <w:rPr>
          <w:rFonts w:ascii="Arial" w:hAnsi="Arial" w:cs="Arial"/>
        </w:rPr>
        <w:t xml:space="preserve"> e linguagem</w:t>
      </w:r>
      <w:r>
        <w:rPr>
          <w:rFonts w:ascii="Arial" w:hAnsi="Arial" w:cs="Arial"/>
        </w:rPr>
        <w:t xml:space="preserve"> utilizados pelas forças armadas; (2) t</w:t>
      </w:r>
      <w:r w:rsidRPr="00B47CBE">
        <w:rPr>
          <w:rFonts w:ascii="Arial" w:hAnsi="Arial" w:cs="Arial"/>
        </w:rPr>
        <w:t xml:space="preserve">reinamento: </w:t>
      </w:r>
      <w:r>
        <w:rPr>
          <w:rFonts w:ascii="Arial" w:hAnsi="Arial" w:cs="Arial"/>
        </w:rPr>
        <w:t>a</w:t>
      </w:r>
      <w:r w:rsidRPr="00B47CBE">
        <w:rPr>
          <w:rFonts w:ascii="Arial" w:hAnsi="Arial" w:cs="Arial"/>
        </w:rPr>
        <w:t xml:space="preserve"> polícia adota </w:t>
      </w:r>
      <w:r>
        <w:rPr>
          <w:rFonts w:ascii="Arial" w:hAnsi="Arial" w:cs="Arial"/>
        </w:rPr>
        <w:t>armamento</w:t>
      </w:r>
      <w:r w:rsidRPr="00B47CBE">
        <w:rPr>
          <w:rFonts w:ascii="Arial" w:hAnsi="Arial" w:cs="Arial"/>
        </w:rPr>
        <w:t>, treinamento</w:t>
      </w:r>
      <w:r>
        <w:rPr>
          <w:rFonts w:ascii="Arial" w:hAnsi="Arial" w:cs="Arial"/>
        </w:rPr>
        <w:t xml:space="preserve"> </w:t>
      </w:r>
      <w:r w:rsidRPr="00B47CBE">
        <w:rPr>
          <w:rFonts w:ascii="Arial" w:hAnsi="Arial" w:cs="Arial"/>
        </w:rPr>
        <w:t xml:space="preserve">e códigos </w:t>
      </w:r>
      <w:r>
        <w:rPr>
          <w:rFonts w:ascii="Arial" w:hAnsi="Arial" w:cs="Arial"/>
        </w:rPr>
        <w:t>e regulamentos disciplinares militares; (3) e</w:t>
      </w:r>
      <w:r w:rsidRPr="00B47CBE">
        <w:rPr>
          <w:rFonts w:ascii="Arial" w:hAnsi="Arial" w:cs="Arial"/>
        </w:rPr>
        <w:t xml:space="preserve">mprego: </w:t>
      </w:r>
      <w:r>
        <w:rPr>
          <w:rFonts w:ascii="Arial" w:hAnsi="Arial" w:cs="Arial"/>
        </w:rPr>
        <w:t>t</w:t>
      </w:r>
      <w:r w:rsidRPr="00B47CBE">
        <w:rPr>
          <w:rFonts w:ascii="Arial" w:hAnsi="Arial" w:cs="Arial"/>
        </w:rPr>
        <w:t>áticas e estratégias militares</w:t>
      </w:r>
      <w:r>
        <w:rPr>
          <w:rFonts w:ascii="Arial" w:hAnsi="Arial" w:cs="Arial"/>
        </w:rPr>
        <w:t xml:space="preserve"> </w:t>
      </w:r>
      <w:r w:rsidRPr="00B47CBE">
        <w:rPr>
          <w:rFonts w:ascii="Arial" w:hAnsi="Arial" w:cs="Arial"/>
        </w:rPr>
        <w:t>são incorporadas à atividade po</w:t>
      </w:r>
      <w:r>
        <w:rPr>
          <w:rFonts w:ascii="Arial" w:hAnsi="Arial" w:cs="Arial"/>
        </w:rPr>
        <w:t>licial; (4) c</w:t>
      </w:r>
      <w:r w:rsidRPr="00B47CBE">
        <w:rPr>
          <w:rFonts w:ascii="Arial" w:hAnsi="Arial" w:cs="Arial"/>
        </w:rPr>
        <w:t xml:space="preserve">ontrole: </w:t>
      </w:r>
      <w:r>
        <w:rPr>
          <w:rFonts w:ascii="Arial" w:hAnsi="Arial" w:cs="Arial"/>
        </w:rPr>
        <w:t>a</w:t>
      </w:r>
      <w:r w:rsidRPr="00B47CBE">
        <w:rPr>
          <w:rFonts w:ascii="Arial" w:hAnsi="Arial" w:cs="Arial"/>
        </w:rPr>
        <w:t xml:space="preserve"> estratégia policial é definida</w:t>
      </w:r>
      <w:r>
        <w:rPr>
          <w:rFonts w:ascii="Arial" w:hAnsi="Arial" w:cs="Arial"/>
        </w:rPr>
        <w:t xml:space="preserve"> </w:t>
      </w:r>
      <w:r w:rsidRPr="00B47CBE">
        <w:rPr>
          <w:rFonts w:ascii="Arial" w:hAnsi="Arial" w:cs="Arial"/>
        </w:rPr>
        <w:t>pelas forças armadas</w:t>
      </w:r>
      <w:r>
        <w:rPr>
          <w:rFonts w:ascii="Arial" w:hAnsi="Arial" w:cs="Arial"/>
        </w:rPr>
        <w:t xml:space="preserve"> ou, s</w:t>
      </w:r>
      <w:r w:rsidRPr="00B47CBE">
        <w:rPr>
          <w:rFonts w:ascii="Arial" w:hAnsi="Arial" w:cs="Arial"/>
        </w:rPr>
        <w:t>e as forças armadas</w:t>
      </w:r>
      <w:r>
        <w:rPr>
          <w:rFonts w:ascii="Arial" w:hAnsi="Arial" w:cs="Arial"/>
        </w:rPr>
        <w:t xml:space="preserve"> </w:t>
      </w:r>
      <w:r w:rsidRPr="00B47CBE">
        <w:rPr>
          <w:rFonts w:ascii="Arial" w:hAnsi="Arial" w:cs="Arial"/>
        </w:rPr>
        <w:t>não dirigem a ação policial, podem controlar</w:t>
      </w:r>
      <w:r>
        <w:rPr>
          <w:rFonts w:ascii="Arial" w:hAnsi="Arial" w:cs="Arial"/>
        </w:rPr>
        <w:t xml:space="preserve"> </w:t>
      </w:r>
      <w:r w:rsidRPr="00B47CBE">
        <w:rPr>
          <w:rFonts w:ascii="Arial" w:hAnsi="Arial" w:cs="Arial"/>
        </w:rPr>
        <w:t>alguns de seus aspectos, como a compra</w:t>
      </w:r>
      <w:r>
        <w:rPr>
          <w:rFonts w:ascii="Arial" w:hAnsi="Arial" w:cs="Arial"/>
        </w:rPr>
        <w:t xml:space="preserve"> </w:t>
      </w:r>
      <w:r w:rsidRPr="00B47CBE">
        <w:rPr>
          <w:rFonts w:ascii="Arial" w:hAnsi="Arial" w:cs="Arial"/>
        </w:rPr>
        <w:t>de armamento e a distribuição geográfica</w:t>
      </w:r>
      <w:r>
        <w:rPr>
          <w:rFonts w:ascii="Arial" w:hAnsi="Arial" w:cs="Arial"/>
        </w:rPr>
        <w:t xml:space="preserve"> do policiamento; (5) i</w:t>
      </w:r>
      <w:r w:rsidRPr="00B47CBE">
        <w:rPr>
          <w:rFonts w:ascii="Arial" w:hAnsi="Arial" w:cs="Arial"/>
        </w:rPr>
        <w:t xml:space="preserve">nteligência: </w:t>
      </w:r>
      <w:r>
        <w:rPr>
          <w:rFonts w:ascii="Arial" w:hAnsi="Arial" w:cs="Arial"/>
        </w:rPr>
        <w:t>a</w:t>
      </w:r>
      <w:r w:rsidRPr="00B47CBE">
        <w:rPr>
          <w:rFonts w:ascii="Arial" w:hAnsi="Arial" w:cs="Arial"/>
        </w:rPr>
        <w:t>tividades de inteligência</w:t>
      </w:r>
      <w:r>
        <w:rPr>
          <w:rFonts w:ascii="Arial" w:hAnsi="Arial" w:cs="Arial"/>
        </w:rPr>
        <w:t xml:space="preserve"> </w:t>
      </w:r>
      <w:r w:rsidRPr="00B47CBE">
        <w:rPr>
          <w:rFonts w:ascii="Arial" w:hAnsi="Arial" w:cs="Arial"/>
        </w:rPr>
        <w:t>são controladas pelas forças armadas ou de</w:t>
      </w:r>
      <w:r>
        <w:rPr>
          <w:rFonts w:ascii="Arial" w:hAnsi="Arial" w:cs="Arial"/>
        </w:rPr>
        <w:t xml:space="preserve"> </w:t>
      </w:r>
      <w:r w:rsidRPr="00B47CBE">
        <w:rPr>
          <w:rFonts w:ascii="Arial" w:hAnsi="Arial" w:cs="Arial"/>
        </w:rPr>
        <w:t>algum modo influenciadas pelo processo</w:t>
      </w:r>
      <w:r>
        <w:rPr>
          <w:rFonts w:ascii="Arial" w:hAnsi="Arial" w:cs="Arial"/>
        </w:rPr>
        <w:t xml:space="preserve"> decisório militar; (6) j</w:t>
      </w:r>
      <w:r w:rsidRPr="00B47CBE">
        <w:rPr>
          <w:rFonts w:ascii="Arial" w:hAnsi="Arial" w:cs="Arial"/>
        </w:rPr>
        <w:t xml:space="preserve">ustiça: </w:t>
      </w:r>
      <w:r>
        <w:rPr>
          <w:rFonts w:ascii="Arial" w:hAnsi="Arial" w:cs="Arial"/>
        </w:rPr>
        <w:t>a</w:t>
      </w:r>
      <w:r w:rsidRPr="00B47CBE">
        <w:rPr>
          <w:rFonts w:ascii="Arial" w:hAnsi="Arial" w:cs="Arial"/>
        </w:rPr>
        <w:t xml:space="preserve"> polícia está inteira ou parcialmente</w:t>
      </w:r>
      <w:r>
        <w:rPr>
          <w:rFonts w:ascii="Arial" w:hAnsi="Arial" w:cs="Arial"/>
        </w:rPr>
        <w:t xml:space="preserve"> </w:t>
      </w:r>
      <w:r w:rsidRPr="00B47CBE">
        <w:rPr>
          <w:rFonts w:ascii="Arial" w:hAnsi="Arial" w:cs="Arial"/>
        </w:rPr>
        <w:t>sujeita à jurisdição de tribunais</w:t>
      </w:r>
      <w:r>
        <w:rPr>
          <w:rFonts w:ascii="Arial" w:hAnsi="Arial" w:cs="Arial"/>
        </w:rPr>
        <w:t xml:space="preserve"> </w:t>
      </w:r>
      <w:r w:rsidRPr="00B47CBE">
        <w:rPr>
          <w:rFonts w:ascii="Arial" w:hAnsi="Arial" w:cs="Arial"/>
        </w:rPr>
        <w:t>militares</w:t>
      </w:r>
      <w:r>
        <w:rPr>
          <w:rStyle w:val="Refdenotaderodap"/>
          <w:rFonts w:ascii="Arial" w:hAnsi="Arial" w:cs="Arial"/>
        </w:rPr>
        <w:footnoteReference w:id="50"/>
      </w:r>
      <w:r w:rsidRPr="00B47CBE">
        <w:rPr>
          <w:rFonts w:ascii="Arial" w:hAnsi="Arial" w:cs="Arial"/>
        </w:rPr>
        <w:t>.</w:t>
      </w:r>
    </w:p>
    <w:p w:rsidR="003839D0" w:rsidRDefault="003839D0" w:rsidP="003839D0">
      <w:pPr>
        <w:ind w:firstLine="851"/>
        <w:jc w:val="both"/>
        <w:rPr>
          <w:rFonts w:ascii="Arial" w:hAnsi="Arial" w:cs="Arial"/>
        </w:rPr>
      </w:pPr>
      <w:r w:rsidRPr="006C64E0">
        <w:rPr>
          <w:rFonts w:ascii="Arial" w:hAnsi="Arial" w:cs="Arial"/>
        </w:rPr>
        <w:t>O argumento</w:t>
      </w:r>
      <w:r>
        <w:rPr>
          <w:rFonts w:ascii="Arial" w:hAnsi="Arial" w:cs="Arial"/>
        </w:rPr>
        <w:t xml:space="preserve"> da desmilitarização das polícias</w:t>
      </w:r>
      <w:r w:rsidRPr="006C64E0">
        <w:rPr>
          <w:rFonts w:ascii="Arial" w:hAnsi="Arial" w:cs="Arial"/>
        </w:rPr>
        <w:t xml:space="preserve">, formulado em abstrato, parece procedente. Em um estado democrático de direito, resta lógico ter organizações policiais de caráter civil. </w:t>
      </w:r>
      <w:r>
        <w:rPr>
          <w:rFonts w:ascii="Arial" w:hAnsi="Arial" w:cs="Arial"/>
        </w:rPr>
        <w:t>Assim sustenta</w:t>
      </w:r>
      <w:r w:rsidRPr="004C5A8C">
        <w:rPr>
          <w:rFonts w:ascii="Arial" w:hAnsi="Arial" w:cs="Arial"/>
        </w:rPr>
        <w:t xml:space="preserve"> Pedro Rodolfo </w:t>
      </w:r>
      <w:proofErr w:type="spellStart"/>
      <w:r w:rsidRPr="004C5A8C">
        <w:rPr>
          <w:rFonts w:ascii="Arial" w:hAnsi="Arial" w:cs="Arial"/>
        </w:rPr>
        <w:t>Bodê</w:t>
      </w:r>
      <w:proofErr w:type="spellEnd"/>
      <w:r w:rsidRPr="004C5A8C">
        <w:rPr>
          <w:rFonts w:ascii="Arial" w:hAnsi="Arial" w:cs="Arial"/>
        </w:rPr>
        <w:t xml:space="preserve"> de</w:t>
      </w:r>
      <w:r w:rsidRPr="00F3706C">
        <w:rPr>
          <w:rFonts w:ascii="Arial" w:hAnsi="Arial" w:cs="Arial"/>
        </w:rPr>
        <w:t xml:space="preserve"> </w:t>
      </w:r>
      <w:r w:rsidRPr="004C5A8C">
        <w:rPr>
          <w:rFonts w:ascii="Arial" w:hAnsi="Arial" w:cs="Arial"/>
        </w:rPr>
        <w:t>MORAES</w:t>
      </w:r>
      <w:r>
        <w:rPr>
          <w:rFonts w:ascii="Arial" w:hAnsi="Arial" w:cs="Arial"/>
        </w:rPr>
        <w:t>:</w:t>
      </w:r>
    </w:p>
    <w:p w:rsidR="003839D0" w:rsidRDefault="003839D0" w:rsidP="003839D0">
      <w:pPr>
        <w:ind w:firstLine="851"/>
        <w:jc w:val="both"/>
        <w:rPr>
          <w:rFonts w:ascii="Arial" w:hAnsi="Arial" w:cs="Arial"/>
        </w:rPr>
      </w:pPr>
    </w:p>
    <w:p w:rsidR="003839D0" w:rsidRPr="00F3706C" w:rsidRDefault="003839D0" w:rsidP="003839D0">
      <w:pPr>
        <w:ind w:left="851"/>
        <w:jc w:val="both"/>
        <w:rPr>
          <w:rFonts w:ascii="Arial" w:hAnsi="Arial" w:cs="Arial"/>
          <w:sz w:val="20"/>
          <w:szCs w:val="20"/>
        </w:rPr>
      </w:pPr>
      <w:r w:rsidRPr="00F3706C">
        <w:rPr>
          <w:rFonts w:ascii="Arial" w:hAnsi="Arial" w:cs="Arial"/>
          <w:sz w:val="20"/>
          <w:szCs w:val="20"/>
        </w:rPr>
        <w:t xml:space="preserve">Se for possível afirmar que dentre as instituições mais resistentes à mudança e a integração à democracia estão às polícias estaduais, muito do seu arcaísmo segue garantido pelo art. </w:t>
      </w:r>
      <w:r w:rsidRPr="00F3706C">
        <w:rPr>
          <w:rFonts w:ascii="Arial" w:hAnsi="Arial" w:cs="Arial"/>
          <w:sz w:val="20"/>
          <w:szCs w:val="20"/>
        </w:rPr>
        <w:lastRenderedPageBreak/>
        <w:t xml:space="preserve">144 da Constituição Federal. </w:t>
      </w:r>
      <w:r>
        <w:rPr>
          <w:rFonts w:ascii="Arial" w:hAnsi="Arial" w:cs="Arial"/>
          <w:sz w:val="20"/>
          <w:szCs w:val="20"/>
        </w:rPr>
        <w:t xml:space="preserve">(...) </w:t>
      </w:r>
      <w:r w:rsidRPr="00F3706C">
        <w:rPr>
          <w:rFonts w:ascii="Arial" w:hAnsi="Arial" w:cs="Arial"/>
          <w:sz w:val="20"/>
          <w:szCs w:val="20"/>
        </w:rPr>
        <w:t xml:space="preserve">Antes de continuarmos vale lembrar que não existe instituição que não sejam organizadas com base na hierarquia e disciplina, mas há uma grande diferença entre aquelas organizações que são militarizadas e as organizações civis. Pelo menos etimologicamente falando polícias deveriam ser sempre civis é o que indica o prefixo </w:t>
      </w:r>
      <w:proofErr w:type="gramStart"/>
      <w:r w:rsidRPr="00F3706C">
        <w:rPr>
          <w:rFonts w:ascii="Arial" w:hAnsi="Arial" w:cs="Arial"/>
          <w:sz w:val="20"/>
          <w:szCs w:val="20"/>
        </w:rPr>
        <w:t>polis</w:t>
      </w:r>
      <w:r>
        <w:rPr>
          <w:rFonts w:ascii="Arial" w:hAnsi="Arial" w:cs="Arial"/>
          <w:sz w:val="20"/>
          <w:szCs w:val="20"/>
        </w:rPr>
        <w:t>,</w:t>
      </w:r>
      <w:proofErr w:type="gramEnd"/>
      <w:r w:rsidRPr="00F3706C">
        <w:rPr>
          <w:rFonts w:ascii="Arial" w:hAnsi="Arial" w:cs="Arial"/>
          <w:sz w:val="20"/>
          <w:szCs w:val="20"/>
        </w:rPr>
        <w:t xml:space="preserve"> o mesmo de política</w:t>
      </w:r>
      <w:r>
        <w:rPr>
          <w:rFonts w:ascii="Arial" w:hAnsi="Arial" w:cs="Arial"/>
          <w:sz w:val="20"/>
          <w:szCs w:val="20"/>
        </w:rPr>
        <w:t>,</w:t>
      </w:r>
      <w:r w:rsidRPr="00F3706C">
        <w:rPr>
          <w:rFonts w:ascii="Arial" w:hAnsi="Arial" w:cs="Arial"/>
          <w:sz w:val="20"/>
          <w:szCs w:val="20"/>
        </w:rPr>
        <w:t xml:space="preserve"> e que tem sua origem na cidade grega, donde, a propósito, retiramos as bases da democracia moderna. É claro que há muita diferença entre o uso da palavra naquela realidade histórica e o uso que se faz contemporaneamente, de qualquer maneira talvez haja uma relação com o fato de que nos dois casos esteja se tratando de procedimentos de manutenção da ordem</w:t>
      </w:r>
      <w:r>
        <w:rPr>
          <w:rStyle w:val="Refdenotaderodap"/>
          <w:rFonts w:ascii="Arial" w:hAnsi="Arial" w:cs="Arial"/>
        </w:rPr>
        <w:footnoteReference w:id="51"/>
      </w:r>
      <w:r w:rsidRPr="00F3706C">
        <w:rPr>
          <w:rFonts w:ascii="Arial" w:hAnsi="Arial" w:cs="Arial"/>
          <w:sz w:val="20"/>
          <w:szCs w:val="20"/>
        </w:rPr>
        <w:t>.</w:t>
      </w:r>
    </w:p>
    <w:p w:rsidR="003839D0" w:rsidRDefault="003839D0" w:rsidP="003839D0">
      <w:pPr>
        <w:ind w:firstLine="851"/>
        <w:jc w:val="both"/>
        <w:rPr>
          <w:rFonts w:ascii="Arial" w:hAnsi="Arial" w:cs="Arial"/>
        </w:rPr>
      </w:pPr>
    </w:p>
    <w:p w:rsidR="003839D0" w:rsidRPr="00A3322D" w:rsidRDefault="003839D0" w:rsidP="003839D0">
      <w:pPr>
        <w:ind w:firstLine="851"/>
        <w:jc w:val="both"/>
        <w:rPr>
          <w:rFonts w:ascii="Arial" w:hAnsi="Arial" w:cs="Arial"/>
        </w:rPr>
      </w:pPr>
      <w:r w:rsidRPr="00A3322D">
        <w:rPr>
          <w:rFonts w:ascii="Arial" w:hAnsi="Arial" w:cs="Arial"/>
        </w:rPr>
        <w:t xml:space="preserve">O autor </w:t>
      </w:r>
      <w:r>
        <w:rPr>
          <w:rFonts w:ascii="Arial" w:hAnsi="Arial" w:cs="Arial"/>
        </w:rPr>
        <w:t>afirma</w:t>
      </w:r>
      <w:r w:rsidRPr="00A3322D">
        <w:rPr>
          <w:rFonts w:ascii="Arial" w:hAnsi="Arial" w:cs="Arial"/>
        </w:rPr>
        <w:t xml:space="preserve"> </w:t>
      </w:r>
      <w:r>
        <w:rPr>
          <w:rFonts w:ascii="Arial" w:hAnsi="Arial" w:cs="Arial"/>
        </w:rPr>
        <w:t>categoricamente, em recente texto</w:t>
      </w:r>
      <w:r w:rsidRPr="00A3322D">
        <w:rPr>
          <w:rFonts w:ascii="Arial" w:hAnsi="Arial" w:cs="Arial"/>
        </w:rPr>
        <w:t xml:space="preserve"> </w:t>
      </w:r>
      <w:r>
        <w:rPr>
          <w:rFonts w:ascii="Arial" w:hAnsi="Arial" w:cs="Arial"/>
        </w:rPr>
        <w:t>(</w:t>
      </w:r>
      <w:r w:rsidRPr="00A3322D">
        <w:rPr>
          <w:rFonts w:ascii="Arial" w:hAnsi="Arial" w:cs="Arial"/>
        </w:rPr>
        <w:t>ainda no prelo</w:t>
      </w:r>
      <w:r>
        <w:rPr>
          <w:rFonts w:ascii="Arial" w:hAnsi="Arial" w:cs="Arial"/>
        </w:rPr>
        <w:t xml:space="preserve">), que essa militarização é prejudicial à </w:t>
      </w:r>
      <w:proofErr w:type="gramStart"/>
      <w:r>
        <w:rPr>
          <w:rFonts w:ascii="Arial" w:hAnsi="Arial" w:cs="Arial"/>
        </w:rPr>
        <w:t>implementação</w:t>
      </w:r>
      <w:proofErr w:type="gramEnd"/>
      <w:r>
        <w:rPr>
          <w:rFonts w:ascii="Arial" w:hAnsi="Arial" w:cs="Arial"/>
        </w:rPr>
        <w:t xml:space="preserve"> das políticas públicas de segurança</w:t>
      </w:r>
      <w:r w:rsidRPr="00A3322D">
        <w:rPr>
          <w:rFonts w:ascii="Arial" w:hAnsi="Arial" w:cs="Arial"/>
        </w:rPr>
        <w:t xml:space="preserve">: </w:t>
      </w:r>
    </w:p>
    <w:p w:rsidR="003839D0" w:rsidRDefault="003839D0" w:rsidP="003839D0">
      <w:pPr>
        <w:pStyle w:val="Default"/>
        <w:rPr>
          <w:sz w:val="23"/>
          <w:szCs w:val="23"/>
        </w:rPr>
      </w:pPr>
    </w:p>
    <w:p w:rsidR="003839D0" w:rsidRPr="00A3322D" w:rsidRDefault="003839D0" w:rsidP="003839D0">
      <w:pPr>
        <w:ind w:left="851"/>
        <w:jc w:val="both"/>
        <w:rPr>
          <w:rFonts w:ascii="Arial" w:hAnsi="Arial" w:cs="Arial"/>
          <w:sz w:val="20"/>
          <w:szCs w:val="20"/>
        </w:rPr>
      </w:pPr>
      <w:r>
        <w:rPr>
          <w:rFonts w:ascii="Arial" w:hAnsi="Arial" w:cs="Arial"/>
          <w:sz w:val="20"/>
          <w:szCs w:val="20"/>
        </w:rPr>
        <w:t>A</w:t>
      </w:r>
      <w:r w:rsidRPr="00A3322D">
        <w:rPr>
          <w:rFonts w:ascii="Arial" w:hAnsi="Arial" w:cs="Arial"/>
          <w:sz w:val="20"/>
          <w:szCs w:val="20"/>
        </w:rPr>
        <w:t xml:space="preserve"> existência de uma polícia militar é uma contradição em termos, como lembra </w:t>
      </w:r>
      <w:proofErr w:type="spellStart"/>
      <w:r w:rsidRPr="00A3322D">
        <w:rPr>
          <w:rFonts w:ascii="Arial" w:hAnsi="Arial" w:cs="Arial"/>
          <w:sz w:val="20"/>
          <w:szCs w:val="20"/>
        </w:rPr>
        <w:t>Zaverucha</w:t>
      </w:r>
      <w:proofErr w:type="spellEnd"/>
      <w:r w:rsidRPr="00A3322D">
        <w:rPr>
          <w:rFonts w:ascii="Arial" w:hAnsi="Arial" w:cs="Arial"/>
          <w:sz w:val="20"/>
          <w:szCs w:val="20"/>
        </w:rPr>
        <w:t xml:space="preserve"> (1994), um </w:t>
      </w:r>
      <w:proofErr w:type="spellStart"/>
      <w:r w:rsidRPr="00A3322D">
        <w:rPr>
          <w:rFonts w:ascii="Arial" w:hAnsi="Arial" w:cs="Arial"/>
          <w:sz w:val="20"/>
          <w:szCs w:val="20"/>
        </w:rPr>
        <w:t>oxímaro</w:t>
      </w:r>
      <w:proofErr w:type="spellEnd"/>
      <w:r w:rsidRPr="00A3322D">
        <w:rPr>
          <w:rFonts w:ascii="Arial" w:hAnsi="Arial" w:cs="Arial"/>
          <w:sz w:val="20"/>
          <w:szCs w:val="20"/>
        </w:rPr>
        <w:t xml:space="preserve">, uma vez que o termo polícia, como indicado a partir de seu prefixo </w:t>
      </w:r>
      <w:proofErr w:type="gramStart"/>
      <w:r w:rsidRPr="00A3322D">
        <w:rPr>
          <w:rFonts w:ascii="Arial" w:hAnsi="Arial" w:cs="Arial"/>
          <w:i/>
          <w:sz w:val="20"/>
          <w:szCs w:val="20"/>
        </w:rPr>
        <w:t>polis</w:t>
      </w:r>
      <w:proofErr w:type="gramEnd"/>
      <w:r w:rsidRPr="00A3322D">
        <w:rPr>
          <w:rFonts w:ascii="Arial" w:hAnsi="Arial" w:cs="Arial"/>
          <w:sz w:val="20"/>
          <w:szCs w:val="20"/>
        </w:rPr>
        <w:t xml:space="preserve">, deveria ser uma instituição civil. Militares são feitos para a guerra, mas para todos os fins, há um enorme consenso de que o que está em jogo é uma guerra contra o crime. </w:t>
      </w:r>
      <w:r>
        <w:rPr>
          <w:rFonts w:ascii="Arial" w:hAnsi="Arial" w:cs="Arial"/>
          <w:sz w:val="20"/>
          <w:szCs w:val="20"/>
        </w:rPr>
        <w:t>(...)</w:t>
      </w:r>
      <w:r w:rsidRPr="00A3322D">
        <w:rPr>
          <w:rFonts w:ascii="Arial" w:hAnsi="Arial" w:cs="Arial"/>
          <w:sz w:val="20"/>
          <w:szCs w:val="20"/>
        </w:rPr>
        <w:t xml:space="preserve"> a polícia militar constitui-se naquilo que </w:t>
      </w:r>
      <w:proofErr w:type="spellStart"/>
      <w:r w:rsidRPr="00A3322D">
        <w:rPr>
          <w:rFonts w:ascii="Arial" w:hAnsi="Arial" w:cs="Arial"/>
          <w:sz w:val="20"/>
          <w:szCs w:val="20"/>
        </w:rPr>
        <w:t>Zaverucha</w:t>
      </w:r>
      <w:proofErr w:type="spellEnd"/>
      <w:r w:rsidRPr="00A3322D">
        <w:rPr>
          <w:rFonts w:ascii="Arial" w:hAnsi="Arial" w:cs="Arial"/>
          <w:sz w:val="20"/>
          <w:szCs w:val="20"/>
        </w:rPr>
        <w:t xml:space="preserve"> (1994) chamou de “enclave autoritário” no interior de Estado democrático. Tendo se configurado e assumido o papel que hora desempenha durante o último ciclo ditatorial, ainda que tenha feito algumas mudanças, continua em sua estrutura uma corporação preparada mais para combater as classes perigosas do que para servir e proteger. Esta instituição que, dispondo de uma organização interna arcaica, com um alto grau de letalidade em suas ações – a polícia brasileira é uma das polícias que mais mata no mundo – e problemas de conduta e corrupção, é a instituição responsável quando não pela aplicação direta da política pública por um papel central na </w:t>
      </w:r>
      <w:proofErr w:type="gramStart"/>
      <w:r w:rsidRPr="00A3322D">
        <w:rPr>
          <w:rFonts w:ascii="Arial" w:hAnsi="Arial" w:cs="Arial"/>
          <w:sz w:val="20"/>
          <w:szCs w:val="20"/>
        </w:rPr>
        <w:t>implementação</w:t>
      </w:r>
      <w:proofErr w:type="gramEnd"/>
      <w:r w:rsidRPr="00A3322D">
        <w:rPr>
          <w:rFonts w:ascii="Arial" w:hAnsi="Arial" w:cs="Arial"/>
          <w:sz w:val="20"/>
          <w:szCs w:val="20"/>
        </w:rPr>
        <w:t xml:space="preserve"> dela</w:t>
      </w:r>
      <w:r>
        <w:rPr>
          <w:rStyle w:val="Refdenotaderodap"/>
          <w:rFonts w:ascii="Arial" w:hAnsi="Arial" w:cs="Arial"/>
        </w:rPr>
        <w:footnoteReference w:id="52"/>
      </w:r>
      <w:r w:rsidRPr="00A3322D">
        <w:rPr>
          <w:rFonts w:ascii="Arial" w:hAnsi="Arial" w:cs="Arial"/>
          <w:sz w:val="20"/>
          <w:szCs w:val="20"/>
        </w:rPr>
        <w:t>.</w:t>
      </w:r>
    </w:p>
    <w:p w:rsidR="003839D0" w:rsidRDefault="003839D0" w:rsidP="003839D0">
      <w:pPr>
        <w:ind w:firstLine="851"/>
        <w:jc w:val="both"/>
        <w:rPr>
          <w:rFonts w:ascii="Arial" w:hAnsi="Arial" w:cs="Arial"/>
        </w:rPr>
      </w:pPr>
    </w:p>
    <w:p w:rsidR="003839D0" w:rsidRDefault="003839D0" w:rsidP="003839D0">
      <w:pPr>
        <w:ind w:firstLine="851"/>
        <w:jc w:val="both"/>
        <w:rPr>
          <w:rFonts w:ascii="Arial" w:hAnsi="Arial" w:cs="Arial"/>
        </w:rPr>
      </w:pPr>
      <w:r w:rsidRPr="005D5D9D">
        <w:rPr>
          <w:rFonts w:ascii="Arial" w:hAnsi="Arial" w:cs="Arial"/>
        </w:rPr>
        <w:t xml:space="preserve">Essa “estética militar” por vezes acaba permeando os conhecimentos técnicos necessários ao emprego eficaz de uma força policial, destinada ao preparo psicológico do combatente para destruir o “inimigo”. </w:t>
      </w:r>
    </w:p>
    <w:p w:rsidR="003839D0" w:rsidRDefault="003839D0" w:rsidP="003839D0">
      <w:pPr>
        <w:ind w:firstLine="851"/>
        <w:jc w:val="both"/>
        <w:rPr>
          <w:rFonts w:ascii="Arial" w:hAnsi="Arial" w:cs="Arial"/>
        </w:rPr>
      </w:pPr>
    </w:p>
    <w:p w:rsidR="003839D0" w:rsidRPr="003839D0" w:rsidRDefault="003839D0" w:rsidP="003839D0">
      <w:pPr>
        <w:ind w:left="851"/>
        <w:jc w:val="both"/>
        <w:rPr>
          <w:rFonts w:ascii="Arial" w:hAnsi="Arial" w:cs="Arial"/>
          <w:sz w:val="22"/>
          <w:szCs w:val="22"/>
        </w:rPr>
      </w:pPr>
      <w:r w:rsidRPr="003839D0">
        <w:rPr>
          <w:rFonts w:ascii="Arial" w:hAnsi="Arial" w:cs="Arial"/>
          <w:sz w:val="22"/>
          <w:szCs w:val="22"/>
        </w:rPr>
        <w:t xml:space="preserve">Bem se vê que tanto a atual Constituição Federal como as leis regentes da matéria carecem de firme decisão política de caráter </w:t>
      </w:r>
      <w:proofErr w:type="spellStart"/>
      <w:r w:rsidRPr="003839D0">
        <w:rPr>
          <w:rFonts w:ascii="Arial" w:hAnsi="Arial" w:cs="Arial"/>
          <w:sz w:val="22"/>
          <w:szCs w:val="22"/>
        </w:rPr>
        <w:t>tecnorreorganizacional</w:t>
      </w:r>
      <w:proofErr w:type="spellEnd"/>
      <w:r w:rsidRPr="003839D0">
        <w:rPr>
          <w:rFonts w:ascii="Arial" w:hAnsi="Arial" w:cs="Arial"/>
          <w:sz w:val="22"/>
          <w:szCs w:val="22"/>
        </w:rPr>
        <w:t xml:space="preserve">, que não se pode deixar influir por interesses corporativos (neste </w:t>
      </w:r>
      <w:proofErr w:type="gramStart"/>
      <w:r w:rsidRPr="003839D0">
        <w:rPr>
          <w:rFonts w:ascii="Arial" w:hAnsi="Arial" w:cs="Arial"/>
          <w:sz w:val="22"/>
          <w:szCs w:val="22"/>
        </w:rPr>
        <w:t>caso sempre muito fortes</w:t>
      </w:r>
      <w:proofErr w:type="gramEnd"/>
      <w:r w:rsidRPr="003839D0">
        <w:rPr>
          <w:rFonts w:ascii="Arial" w:hAnsi="Arial" w:cs="Arial"/>
          <w:sz w:val="22"/>
          <w:szCs w:val="22"/>
        </w:rPr>
        <w:t>). Não há razão (sensata razão), senão argumentos só aparentemente úteis, para a estratégia militar interferir no âmago da estratégia policial, a ponto de determinar a existência de uma “polícia” militar. Em regime democrático, sob o império do Estado de Direito, não há espaço para este desvio profissional, ainda tão sedimentado entre nós, agora já mais por incúria administrativa que por razões políticas</w:t>
      </w:r>
      <w:r w:rsidRPr="003839D0">
        <w:rPr>
          <w:rStyle w:val="Refdenotaderodap"/>
          <w:rFonts w:ascii="Arial" w:hAnsi="Arial" w:cs="Arial"/>
          <w:sz w:val="22"/>
          <w:szCs w:val="22"/>
        </w:rPr>
        <w:footnoteReference w:id="53"/>
      </w:r>
      <w:r w:rsidRPr="003839D0">
        <w:rPr>
          <w:rFonts w:ascii="Arial" w:hAnsi="Arial" w:cs="Arial"/>
          <w:sz w:val="22"/>
          <w:szCs w:val="22"/>
        </w:rPr>
        <w:t xml:space="preserve">. </w:t>
      </w:r>
    </w:p>
    <w:p w:rsidR="003839D0" w:rsidRDefault="003839D0" w:rsidP="003839D0">
      <w:pPr>
        <w:ind w:firstLine="851"/>
        <w:jc w:val="both"/>
        <w:rPr>
          <w:rFonts w:ascii="Arial" w:hAnsi="Arial" w:cs="Arial"/>
        </w:rPr>
      </w:pPr>
    </w:p>
    <w:p w:rsidR="003839D0" w:rsidRDefault="003839D0" w:rsidP="003839D0">
      <w:pPr>
        <w:ind w:firstLine="851"/>
        <w:jc w:val="both"/>
        <w:rPr>
          <w:rFonts w:ascii="Arial" w:hAnsi="Arial" w:cs="Arial"/>
        </w:rPr>
      </w:pPr>
      <w:r w:rsidRPr="005D5D9D">
        <w:rPr>
          <w:rFonts w:ascii="Arial" w:hAnsi="Arial" w:cs="Arial"/>
        </w:rPr>
        <w:t xml:space="preserve">Esse conjunto de estímulos (solenidade, rito, formalismo) pode despertar e internalizar no homem valores ocultos, muito mais abrangentes do </w:t>
      </w:r>
      <w:r>
        <w:rPr>
          <w:rFonts w:ascii="Arial" w:hAnsi="Arial" w:cs="Arial"/>
        </w:rPr>
        <w:t xml:space="preserve">que a hierarquia e a disciplina, como evidencia </w:t>
      </w:r>
      <w:r w:rsidRPr="005D5D9D">
        <w:rPr>
          <w:rFonts w:ascii="Arial" w:hAnsi="Arial" w:cs="Arial"/>
        </w:rPr>
        <w:t>Arthur Trindade Maranhão COSTA:</w:t>
      </w:r>
    </w:p>
    <w:p w:rsidR="003839D0" w:rsidRDefault="003839D0" w:rsidP="003839D0">
      <w:pPr>
        <w:ind w:firstLine="851"/>
        <w:jc w:val="both"/>
        <w:rPr>
          <w:rFonts w:ascii="Arial" w:hAnsi="Arial" w:cs="Arial"/>
        </w:rPr>
      </w:pPr>
    </w:p>
    <w:p w:rsidR="003839D0" w:rsidRPr="003839D0" w:rsidRDefault="003839D0" w:rsidP="003839D0">
      <w:pPr>
        <w:ind w:left="851"/>
        <w:jc w:val="both"/>
        <w:rPr>
          <w:rFonts w:ascii="Arial" w:hAnsi="Arial" w:cs="Arial"/>
          <w:sz w:val="22"/>
          <w:szCs w:val="22"/>
        </w:rPr>
      </w:pPr>
      <w:r w:rsidRPr="003839D0">
        <w:rPr>
          <w:rFonts w:ascii="Arial" w:hAnsi="Arial" w:cs="Arial"/>
          <w:sz w:val="22"/>
          <w:szCs w:val="22"/>
        </w:rPr>
        <w:t>Usualmente a atividade policial é descrita como uma guerra contra o crime. Mais recentemente esta guerra vem ganhando outras dimensões: guerra contra as drogas, guerra contra a delinquência juvenil e mesmo guerra contra a corrupção. A analogia entre polícia e Exército é inadequada. Diferentemente dos soldados num campo de batalha, os policiais não têm a clara definição de quais são os seus inimigos; afinal, são todos cidadãos,</w:t>
      </w:r>
      <w:proofErr w:type="gramStart"/>
      <w:r w:rsidRPr="003839D0">
        <w:rPr>
          <w:rFonts w:ascii="Arial" w:hAnsi="Arial" w:cs="Arial"/>
          <w:sz w:val="22"/>
          <w:szCs w:val="22"/>
        </w:rPr>
        <w:t xml:space="preserve">  </w:t>
      </w:r>
      <w:proofErr w:type="gramEnd"/>
      <w:r w:rsidRPr="003839D0">
        <w:rPr>
          <w:rFonts w:ascii="Arial" w:hAnsi="Arial" w:cs="Arial"/>
          <w:sz w:val="22"/>
          <w:szCs w:val="22"/>
        </w:rPr>
        <w:t xml:space="preserve">mesmo os que infringem a lei. Tampouco </w:t>
      </w:r>
      <w:r w:rsidRPr="003839D0">
        <w:rPr>
          <w:rFonts w:ascii="Arial" w:hAnsi="Arial" w:cs="Arial"/>
          <w:sz w:val="22"/>
          <w:szCs w:val="22"/>
        </w:rPr>
        <w:lastRenderedPageBreak/>
        <w:t xml:space="preserve">esses policiais estão autorizados a usar o máximo de força para aniquilá-los. Essa analogia permite que as polícias elejam seus inimigos normalmente entre os segmentos </w:t>
      </w:r>
      <w:proofErr w:type="gramStart"/>
      <w:r w:rsidRPr="003839D0">
        <w:rPr>
          <w:rFonts w:ascii="Arial" w:hAnsi="Arial" w:cs="Arial"/>
          <w:sz w:val="22"/>
          <w:szCs w:val="22"/>
        </w:rPr>
        <w:t>política e economicamente desprivilegiados, além de também incentivar o uso da violência</w:t>
      </w:r>
      <w:r w:rsidRPr="003839D0">
        <w:rPr>
          <w:rStyle w:val="Refdenotaderodap"/>
          <w:rFonts w:ascii="Arial" w:hAnsi="Arial" w:cs="Arial"/>
          <w:sz w:val="22"/>
          <w:szCs w:val="22"/>
        </w:rPr>
        <w:footnoteReference w:id="54"/>
      </w:r>
      <w:proofErr w:type="gramEnd"/>
      <w:r w:rsidRPr="003839D0">
        <w:rPr>
          <w:rFonts w:ascii="Arial" w:hAnsi="Arial" w:cs="Arial"/>
          <w:sz w:val="22"/>
          <w:szCs w:val="22"/>
        </w:rPr>
        <w:t xml:space="preserve">. </w:t>
      </w:r>
    </w:p>
    <w:p w:rsidR="003839D0" w:rsidRPr="006C64E0" w:rsidRDefault="003839D0" w:rsidP="003839D0">
      <w:pPr>
        <w:ind w:firstLine="851"/>
        <w:jc w:val="both"/>
        <w:rPr>
          <w:rFonts w:ascii="Arial" w:hAnsi="Arial" w:cs="Arial"/>
        </w:rPr>
      </w:pPr>
    </w:p>
    <w:p w:rsidR="003839D0" w:rsidRPr="00521017" w:rsidRDefault="003839D0" w:rsidP="003839D0">
      <w:pPr>
        <w:ind w:firstLine="851"/>
        <w:jc w:val="both"/>
        <w:rPr>
          <w:rFonts w:ascii="Arial" w:hAnsi="Arial" w:cs="Arial"/>
        </w:rPr>
      </w:pPr>
      <w:r w:rsidRPr="009D6D1D">
        <w:rPr>
          <w:rFonts w:ascii="Arial" w:hAnsi="Arial" w:cs="Arial"/>
          <w:iCs/>
        </w:rPr>
        <w:t xml:space="preserve">Esta corrente doutrinária considera urgente, pois, acabar com a cultura militar da polícia, eis que todos os chamados atributos militares que devem estar no policial não são exclusividades do militar: hierarquia/denominação dos postos, disciplina, </w:t>
      </w:r>
      <w:proofErr w:type="gramStart"/>
      <w:r w:rsidRPr="009D6D1D">
        <w:rPr>
          <w:rFonts w:ascii="Arial" w:hAnsi="Arial" w:cs="Arial"/>
          <w:iCs/>
        </w:rPr>
        <w:t>vigor físico</w:t>
      </w:r>
      <w:proofErr w:type="gramEnd"/>
      <w:r w:rsidRPr="009D6D1D">
        <w:rPr>
          <w:rFonts w:ascii="Arial" w:hAnsi="Arial" w:cs="Arial"/>
          <w:iCs/>
        </w:rPr>
        <w:t>, far</w:t>
      </w:r>
      <w:r>
        <w:rPr>
          <w:rFonts w:ascii="Arial" w:hAnsi="Arial" w:cs="Arial"/>
          <w:iCs/>
        </w:rPr>
        <w:t xml:space="preserve">damento, mobilidade operacional e </w:t>
      </w:r>
      <w:r w:rsidRPr="009D6D1D">
        <w:rPr>
          <w:rFonts w:ascii="Arial" w:hAnsi="Arial" w:cs="Arial"/>
          <w:iCs/>
        </w:rPr>
        <w:t>ordem unida</w:t>
      </w:r>
      <w:r>
        <w:rPr>
          <w:rStyle w:val="Refdenotaderodap"/>
          <w:rFonts w:ascii="Arial" w:hAnsi="Arial" w:cs="Arial"/>
          <w:iCs/>
        </w:rPr>
        <w:footnoteReference w:id="55"/>
      </w:r>
      <w:r w:rsidRPr="009D6D1D">
        <w:rPr>
          <w:rFonts w:ascii="Arial" w:hAnsi="Arial" w:cs="Arial"/>
          <w:iCs/>
        </w:rPr>
        <w:t>.</w:t>
      </w:r>
    </w:p>
    <w:p w:rsidR="003839D0" w:rsidRDefault="003839D0" w:rsidP="003839D0">
      <w:pPr>
        <w:ind w:firstLine="851"/>
        <w:jc w:val="both"/>
        <w:rPr>
          <w:rFonts w:ascii="Arial" w:hAnsi="Arial" w:cs="Arial"/>
        </w:rPr>
      </w:pPr>
      <w:r>
        <w:rPr>
          <w:rFonts w:ascii="Arial" w:hAnsi="Arial" w:cs="Arial"/>
        </w:rPr>
        <w:t>Utilizando-se da teoria democrática deliberativa, infere-se que as decisões políticas devem necessariamente buscar na discussão pública e no debate fundamentado a sua base de constituição.</w:t>
      </w:r>
    </w:p>
    <w:p w:rsidR="003839D0" w:rsidRDefault="003839D0" w:rsidP="003839D0">
      <w:pPr>
        <w:ind w:firstLine="851"/>
        <w:jc w:val="both"/>
        <w:rPr>
          <w:rFonts w:ascii="Arial" w:hAnsi="Arial" w:cs="Arial"/>
        </w:rPr>
      </w:pPr>
      <w:r>
        <w:rPr>
          <w:rFonts w:ascii="Arial" w:hAnsi="Arial" w:cs="Arial"/>
        </w:rPr>
        <w:t>Jürgen HABERMAS, ao elaborar o conceito de democracia discursiva, ou deliberativa, se preocupa com o modo com que os cidadãos fundamentam racionalmente as regras do jogo democrático. Defende a proposta de que as deliberações políticas devem ocorrer na esfera pública, com a observância de procedimentos, quais sejam: o debate entre os envolvidos, a ação argumentativa, a linguagem orientada para entendimento e a participação dos potencialmente atingidos</w:t>
      </w:r>
      <w:r>
        <w:rPr>
          <w:rStyle w:val="Refdenotaderodap"/>
          <w:rFonts w:ascii="Arial" w:hAnsi="Arial" w:cs="Arial"/>
        </w:rPr>
        <w:footnoteReference w:id="56"/>
      </w:r>
      <w:r>
        <w:rPr>
          <w:rFonts w:ascii="Arial" w:hAnsi="Arial" w:cs="Arial"/>
        </w:rPr>
        <w:t xml:space="preserve">. </w:t>
      </w:r>
    </w:p>
    <w:p w:rsidR="003839D0" w:rsidRDefault="003839D0" w:rsidP="003839D0">
      <w:pPr>
        <w:ind w:firstLine="851"/>
        <w:jc w:val="both"/>
        <w:rPr>
          <w:rFonts w:ascii="Arial" w:hAnsi="Arial" w:cs="Arial"/>
        </w:rPr>
      </w:pPr>
      <w:r>
        <w:rPr>
          <w:rFonts w:ascii="Arial" w:hAnsi="Arial" w:cs="Arial"/>
        </w:rPr>
        <w:t xml:space="preserve">Necessário, nesta concepção, que se institucionalizem negociações e formas de argumentação com o apoio da comunicação, isto é, do diálogo e do consenso. Este procedimento democrático garante a ação dos indivíduos ou grupos, os quais devem reconhecer-se como livres e iguais para que possam se comunicar, argumentando contra ou a favor de uma ideia, visando à obtenção do consenso. </w:t>
      </w:r>
    </w:p>
    <w:p w:rsidR="003839D0" w:rsidRDefault="003839D0" w:rsidP="003839D0">
      <w:pPr>
        <w:ind w:firstLine="851"/>
        <w:jc w:val="both"/>
        <w:rPr>
          <w:rFonts w:ascii="Arial" w:hAnsi="Arial" w:cs="Arial"/>
        </w:rPr>
      </w:pPr>
      <w:r>
        <w:rPr>
          <w:rFonts w:ascii="Arial" w:hAnsi="Arial" w:cs="Arial"/>
        </w:rPr>
        <w:t>Para o autor “no uso da linguagem orientada pelo entendimento, ao qual o agir comunicativo está referido, os participantes unem-se em torno da pretensa validade de suas ações de fala, ou constatam dissensos, os quais eles, de comum acordo, levarão em conta no decorrer da ação</w:t>
      </w:r>
      <w:proofErr w:type="gramStart"/>
      <w:r>
        <w:rPr>
          <w:rFonts w:ascii="Arial" w:hAnsi="Arial" w:cs="Arial"/>
        </w:rPr>
        <w:t>”</w:t>
      </w:r>
      <w:proofErr w:type="gramEnd"/>
      <w:r>
        <w:rPr>
          <w:rStyle w:val="Refdenotaderodap"/>
          <w:rFonts w:ascii="Arial" w:hAnsi="Arial" w:cs="Arial"/>
        </w:rPr>
        <w:footnoteReference w:id="57"/>
      </w:r>
      <w:r>
        <w:rPr>
          <w:rFonts w:ascii="Arial" w:hAnsi="Arial" w:cs="Arial"/>
        </w:rPr>
        <w:t>.</w:t>
      </w:r>
    </w:p>
    <w:p w:rsidR="003839D0" w:rsidRDefault="003839D0" w:rsidP="003839D0">
      <w:pPr>
        <w:ind w:firstLine="851"/>
        <w:jc w:val="both"/>
        <w:rPr>
          <w:rFonts w:ascii="Arial" w:hAnsi="Arial" w:cs="Arial"/>
        </w:rPr>
      </w:pPr>
      <w:r>
        <w:rPr>
          <w:rFonts w:ascii="Arial" w:hAnsi="Arial" w:cs="Arial"/>
        </w:rPr>
        <w:t>A teoria do discurso “estabelece um nexo interno entre considerações pragmáticas, compromissos, discursos de auto entendimento e discursos da justiça, fundamentando a suposição de que é possível se chegar a resultados racionais e equitativos</w:t>
      </w:r>
      <w:proofErr w:type="gramStart"/>
      <w:r>
        <w:rPr>
          <w:rFonts w:ascii="Arial" w:hAnsi="Arial" w:cs="Arial"/>
        </w:rPr>
        <w:t>”</w:t>
      </w:r>
      <w:proofErr w:type="gramEnd"/>
      <w:r>
        <w:rPr>
          <w:rStyle w:val="Refdenotaderodap"/>
          <w:rFonts w:ascii="Arial" w:hAnsi="Arial" w:cs="Arial"/>
        </w:rPr>
        <w:footnoteReference w:id="58"/>
      </w:r>
      <w:r>
        <w:rPr>
          <w:rFonts w:ascii="Arial" w:hAnsi="Arial" w:cs="Arial"/>
        </w:rPr>
        <w:t>.</w:t>
      </w:r>
    </w:p>
    <w:p w:rsidR="003839D0" w:rsidRDefault="003839D0" w:rsidP="003839D0">
      <w:pPr>
        <w:ind w:firstLine="851"/>
        <w:jc w:val="both"/>
        <w:rPr>
          <w:rFonts w:ascii="Arial" w:hAnsi="Arial" w:cs="Arial"/>
        </w:rPr>
      </w:pPr>
      <w:r>
        <w:rPr>
          <w:rFonts w:ascii="Arial" w:hAnsi="Arial" w:cs="Arial"/>
        </w:rPr>
        <w:t>A legitimação do processo democrático deriva, portanto, segundo a teoria, “dos procedimentos e dos pressupostos comunicativos da formação democrática da vontade e da opinião dos interessados que, por sua vez, funcionam como canais para a racionalização discursiva das decisões do governo e da administração pública</w:t>
      </w:r>
      <w:proofErr w:type="gramStart"/>
      <w:r>
        <w:rPr>
          <w:rFonts w:ascii="Arial" w:hAnsi="Arial" w:cs="Arial"/>
        </w:rPr>
        <w:t>”</w:t>
      </w:r>
      <w:proofErr w:type="gramEnd"/>
      <w:r>
        <w:rPr>
          <w:rStyle w:val="Refdenotaderodap"/>
          <w:rFonts w:ascii="Arial" w:hAnsi="Arial" w:cs="Arial"/>
        </w:rPr>
        <w:footnoteReference w:id="59"/>
      </w:r>
      <w:r>
        <w:rPr>
          <w:rFonts w:ascii="Arial" w:hAnsi="Arial" w:cs="Arial"/>
        </w:rPr>
        <w:t xml:space="preserve">. </w:t>
      </w:r>
    </w:p>
    <w:p w:rsidR="003839D0" w:rsidRDefault="003839D0" w:rsidP="003839D0">
      <w:pPr>
        <w:ind w:firstLine="851"/>
        <w:jc w:val="both"/>
        <w:rPr>
          <w:rFonts w:ascii="Arial" w:hAnsi="Arial" w:cs="Arial"/>
        </w:rPr>
      </w:pPr>
      <w:r>
        <w:rPr>
          <w:rFonts w:ascii="Arial" w:hAnsi="Arial" w:cs="Arial"/>
        </w:rPr>
        <w:t xml:space="preserve">Em que pese o fato de só o sistema político ter poder para agir enquanto subsistema especializado em tomar decisões vinculantes, as estruturas </w:t>
      </w:r>
      <w:r>
        <w:rPr>
          <w:rFonts w:ascii="Arial" w:hAnsi="Arial" w:cs="Arial"/>
        </w:rPr>
        <w:lastRenderedPageBreak/>
        <w:t>comunicativas reagem como sensores às pressões dos problemas que perpassam toda a sociedade ou grupos e estimulam opiniões influentes</w:t>
      </w:r>
      <w:r>
        <w:rPr>
          <w:rStyle w:val="Refdenotaderodap"/>
          <w:rFonts w:ascii="Arial" w:hAnsi="Arial" w:cs="Arial"/>
        </w:rPr>
        <w:footnoteReference w:id="60"/>
      </w:r>
      <w:r>
        <w:rPr>
          <w:rFonts w:ascii="Arial" w:hAnsi="Arial" w:cs="Arial"/>
        </w:rPr>
        <w:t>.</w:t>
      </w:r>
    </w:p>
    <w:p w:rsidR="003839D0" w:rsidRDefault="003839D0" w:rsidP="003839D0">
      <w:pPr>
        <w:ind w:firstLine="851"/>
        <w:jc w:val="both"/>
        <w:rPr>
          <w:rFonts w:ascii="Arial" w:hAnsi="Arial" w:cs="Arial"/>
        </w:rPr>
      </w:pPr>
      <w:r w:rsidRPr="005966FD">
        <w:rPr>
          <w:rFonts w:ascii="Arial" w:hAnsi="Arial" w:cs="Arial"/>
        </w:rPr>
        <w:t>Para Joshua COHEN, “a democracia deliberativa está ligada ao ideal intuitivo de uma associação democrática, na qual a justificação dos termo</w:t>
      </w:r>
      <w:r>
        <w:rPr>
          <w:rFonts w:ascii="Arial" w:hAnsi="Arial" w:cs="Arial"/>
        </w:rPr>
        <w:t>s</w:t>
      </w:r>
      <w:r w:rsidRPr="005966FD">
        <w:rPr>
          <w:rFonts w:ascii="Arial" w:hAnsi="Arial" w:cs="Arial"/>
        </w:rPr>
        <w:t xml:space="preserve"> e condições da associação </w:t>
      </w:r>
      <w:proofErr w:type="gramStart"/>
      <w:r w:rsidRPr="005966FD">
        <w:rPr>
          <w:rFonts w:ascii="Arial" w:hAnsi="Arial" w:cs="Arial"/>
        </w:rPr>
        <w:t>procedem</w:t>
      </w:r>
      <w:proofErr w:type="gramEnd"/>
      <w:r w:rsidRPr="005966FD">
        <w:rPr>
          <w:rFonts w:ascii="Arial" w:hAnsi="Arial" w:cs="Arial"/>
        </w:rPr>
        <w:t xml:space="preserve"> através dos argume</w:t>
      </w:r>
      <w:r>
        <w:rPr>
          <w:rFonts w:ascii="Arial" w:hAnsi="Arial" w:cs="Arial"/>
        </w:rPr>
        <w:t>ntos públicos e do raciocínio en</w:t>
      </w:r>
      <w:r w:rsidRPr="005966FD">
        <w:rPr>
          <w:rFonts w:ascii="Arial" w:hAnsi="Arial" w:cs="Arial"/>
        </w:rPr>
        <w:t>tre cidadão iguais. Cidadãos que compartilham um compromisso para a solução dos problemas da escolha coletiva através do raciocínio público e consideram suas instituições fundamentais como legítimas na medida em que elas estabelecem a moldura para a deliberação pública livre”</w:t>
      </w:r>
      <w:r>
        <w:rPr>
          <w:rStyle w:val="Refdenotaderodap"/>
          <w:rFonts w:ascii="Arial" w:hAnsi="Arial" w:cs="Arial"/>
        </w:rPr>
        <w:footnoteReference w:id="61"/>
      </w:r>
      <w:r w:rsidRPr="005966FD">
        <w:rPr>
          <w:rFonts w:ascii="Arial" w:hAnsi="Arial" w:cs="Arial"/>
        </w:rPr>
        <w:t xml:space="preserve">. </w:t>
      </w:r>
    </w:p>
    <w:p w:rsidR="003839D0" w:rsidRDefault="003839D0" w:rsidP="003839D0">
      <w:pPr>
        <w:ind w:firstLine="851"/>
        <w:jc w:val="both"/>
        <w:rPr>
          <w:rFonts w:ascii="Arial" w:hAnsi="Arial" w:cs="Arial"/>
        </w:rPr>
      </w:pPr>
      <w:r>
        <w:rPr>
          <w:rFonts w:ascii="Arial" w:hAnsi="Arial" w:cs="Arial"/>
        </w:rPr>
        <w:t xml:space="preserve">Os processos de comunicação, para além de colaborar para a melhoria das condições dos interessados, podem auxiliar na consecução das missões de organizações/instituições e legitimar a autoridade de quem detém o poder de direção. A maneira como as pessoas se conscientizam de seu trabalho, de seus patrões e delas mesmas é </w:t>
      </w:r>
      <w:proofErr w:type="gramStart"/>
      <w:r>
        <w:rPr>
          <w:rFonts w:ascii="Arial" w:hAnsi="Arial" w:cs="Arial"/>
        </w:rPr>
        <w:t>a</w:t>
      </w:r>
      <w:proofErr w:type="gramEnd"/>
      <w:r>
        <w:rPr>
          <w:rFonts w:ascii="Arial" w:hAnsi="Arial" w:cs="Arial"/>
        </w:rPr>
        <w:t xml:space="preserve"> base da autoridade social</w:t>
      </w:r>
      <w:r>
        <w:rPr>
          <w:rStyle w:val="Refdenotaderodap"/>
          <w:rFonts w:ascii="Arial" w:hAnsi="Arial" w:cs="Arial"/>
        </w:rPr>
        <w:footnoteReference w:id="62"/>
      </w:r>
      <w:r>
        <w:rPr>
          <w:rFonts w:ascii="Arial" w:hAnsi="Arial" w:cs="Arial"/>
        </w:rPr>
        <w:t xml:space="preserve">. </w:t>
      </w:r>
    </w:p>
    <w:p w:rsidR="003839D0" w:rsidRDefault="003839D0" w:rsidP="003839D0">
      <w:pPr>
        <w:ind w:firstLine="851"/>
        <w:jc w:val="both"/>
        <w:rPr>
          <w:rFonts w:ascii="Arial" w:hAnsi="Arial" w:cs="Arial"/>
        </w:rPr>
      </w:pPr>
      <w:r>
        <w:rPr>
          <w:rFonts w:ascii="Arial" w:hAnsi="Arial" w:cs="Arial"/>
        </w:rPr>
        <w:t>Richard SENNETT infere que a legitimação da autoridade só pode ocorrer num ambiente de comunicação construtiva</w:t>
      </w:r>
      <w:r>
        <w:rPr>
          <w:rStyle w:val="Refdenotaderodap"/>
          <w:rFonts w:ascii="Arial" w:hAnsi="Arial" w:cs="Arial"/>
        </w:rPr>
        <w:footnoteReference w:id="63"/>
      </w:r>
      <w:r>
        <w:rPr>
          <w:rFonts w:ascii="Arial" w:hAnsi="Arial" w:cs="Arial"/>
        </w:rPr>
        <w:t xml:space="preserve">. Ao citar James </w:t>
      </w:r>
      <w:proofErr w:type="spellStart"/>
      <w:r>
        <w:rPr>
          <w:rFonts w:ascii="Arial" w:hAnsi="Arial" w:cs="Arial"/>
        </w:rPr>
        <w:t>Cribbin</w:t>
      </w:r>
      <w:proofErr w:type="spellEnd"/>
      <w:r>
        <w:rPr>
          <w:rFonts w:ascii="Arial" w:hAnsi="Arial" w:cs="Arial"/>
        </w:rPr>
        <w:t>,</w:t>
      </w:r>
      <w:r w:rsidRPr="00C07E63">
        <w:rPr>
          <w:rFonts w:ascii="Arial" w:hAnsi="Arial" w:cs="Arial"/>
        </w:rPr>
        <w:t xml:space="preserve"> </w:t>
      </w:r>
      <w:r>
        <w:rPr>
          <w:rFonts w:ascii="Arial" w:hAnsi="Arial" w:cs="Arial"/>
        </w:rPr>
        <w:t>o dirigente</w:t>
      </w:r>
      <w:r w:rsidRPr="00C07E63">
        <w:rPr>
          <w:rFonts w:ascii="Arial" w:hAnsi="Arial" w:cs="Arial"/>
        </w:rPr>
        <w:t xml:space="preserve"> </w:t>
      </w:r>
      <w:r>
        <w:rPr>
          <w:rFonts w:ascii="Arial" w:hAnsi="Arial" w:cs="Arial"/>
        </w:rPr>
        <w:t>cooperativo:</w:t>
      </w:r>
    </w:p>
    <w:p w:rsidR="003839D0" w:rsidRPr="001A7333" w:rsidRDefault="003839D0" w:rsidP="003839D0">
      <w:pPr>
        <w:ind w:left="851"/>
        <w:jc w:val="both"/>
        <w:rPr>
          <w:rFonts w:ascii="Arial" w:hAnsi="Arial" w:cs="Arial"/>
          <w:sz w:val="20"/>
          <w:szCs w:val="20"/>
        </w:rPr>
      </w:pPr>
    </w:p>
    <w:p w:rsidR="003839D0" w:rsidRPr="003839D0" w:rsidRDefault="003839D0" w:rsidP="003839D0">
      <w:pPr>
        <w:ind w:left="851"/>
        <w:jc w:val="both"/>
        <w:rPr>
          <w:rFonts w:ascii="Arial" w:hAnsi="Arial" w:cs="Arial"/>
          <w:sz w:val="22"/>
          <w:szCs w:val="22"/>
        </w:rPr>
      </w:pPr>
      <w:r w:rsidRPr="003839D0">
        <w:rPr>
          <w:rFonts w:ascii="Arial" w:hAnsi="Arial" w:cs="Arial"/>
          <w:sz w:val="22"/>
          <w:szCs w:val="22"/>
        </w:rPr>
        <w:t xml:space="preserve">Não hesita em ser vigoroso quando as circunstâncias o exigem, mas não recorre habitualmente às ordens diretas. Preza mais a autodisciplina do que a disciplina imposta e mais as sugestões construtivas do que o conformismo submisso. Considerando que a autoridade se baseia mais na competência do que na posição, esse líder interage com seus seguidores num processo de influência recíproca. Como instrutor de equipes, percebe que seu objetivo é ajudar os empregados a satisfazerem algumas de suas necessidades, </w:t>
      </w:r>
      <w:proofErr w:type="gramStart"/>
      <w:r w:rsidRPr="003839D0">
        <w:rPr>
          <w:rFonts w:ascii="Arial" w:hAnsi="Arial" w:cs="Arial"/>
          <w:sz w:val="22"/>
          <w:szCs w:val="22"/>
        </w:rPr>
        <w:t>ao mesmo tempo que</w:t>
      </w:r>
      <w:proofErr w:type="gramEnd"/>
      <w:r w:rsidRPr="003839D0">
        <w:rPr>
          <w:rFonts w:ascii="Arial" w:hAnsi="Arial" w:cs="Arial"/>
          <w:sz w:val="22"/>
          <w:szCs w:val="22"/>
        </w:rPr>
        <w:t xml:space="preserve"> realizam as metas do grupo e da firma. A comunicação flui livremente, é construtiva e se orienta para as finalidades para as quais o grupo existe. Por fim, se possível, os conflitos são resolvidos através da síntese de diversas opiniões</w:t>
      </w:r>
      <w:r w:rsidRPr="003839D0">
        <w:rPr>
          <w:rStyle w:val="Refdenotaderodap"/>
          <w:rFonts w:ascii="Arial" w:hAnsi="Arial" w:cs="Arial"/>
          <w:sz w:val="22"/>
          <w:szCs w:val="22"/>
        </w:rPr>
        <w:footnoteReference w:id="64"/>
      </w:r>
      <w:r w:rsidRPr="003839D0">
        <w:rPr>
          <w:rFonts w:ascii="Arial" w:hAnsi="Arial" w:cs="Arial"/>
          <w:sz w:val="22"/>
          <w:szCs w:val="22"/>
        </w:rPr>
        <w:t>.</w:t>
      </w:r>
    </w:p>
    <w:p w:rsidR="003839D0" w:rsidRDefault="003839D0" w:rsidP="003839D0">
      <w:pPr>
        <w:ind w:firstLine="851"/>
        <w:jc w:val="both"/>
        <w:rPr>
          <w:rFonts w:ascii="Arial" w:hAnsi="Arial" w:cs="Arial"/>
          <w:b/>
        </w:rPr>
      </w:pPr>
      <w:r w:rsidRPr="004E38A1">
        <w:rPr>
          <w:rFonts w:ascii="Arial" w:hAnsi="Arial" w:cs="Arial"/>
        </w:rPr>
        <w:t> </w:t>
      </w:r>
    </w:p>
    <w:p w:rsidR="003839D0" w:rsidRDefault="003839D0" w:rsidP="003839D0">
      <w:pPr>
        <w:ind w:firstLine="851"/>
        <w:jc w:val="both"/>
        <w:rPr>
          <w:rFonts w:ascii="Arial" w:hAnsi="Arial" w:cs="Arial"/>
        </w:rPr>
      </w:pPr>
      <w:r>
        <w:rPr>
          <w:rFonts w:ascii="Arial" w:hAnsi="Arial" w:cs="Arial"/>
        </w:rPr>
        <w:t>O autor expressa que “</w:t>
      </w:r>
      <w:r w:rsidRPr="00897C5E">
        <w:rPr>
          <w:rFonts w:ascii="Arial" w:hAnsi="Arial" w:cs="Arial"/>
        </w:rPr>
        <w:t>o vínculo de autoridade constrói-se a partir de imagens de força e</w:t>
      </w:r>
      <w:r>
        <w:rPr>
          <w:rFonts w:ascii="Arial" w:hAnsi="Arial" w:cs="Arial"/>
        </w:rPr>
        <w:t xml:space="preserve"> </w:t>
      </w:r>
      <w:r w:rsidRPr="00897C5E">
        <w:rPr>
          <w:rFonts w:ascii="Arial" w:hAnsi="Arial" w:cs="Arial"/>
        </w:rPr>
        <w:t>fraqueza; é a expressão emocional do poder</w:t>
      </w:r>
      <w:proofErr w:type="gramStart"/>
      <w:r w:rsidRPr="00897C5E">
        <w:rPr>
          <w:rFonts w:ascii="Arial" w:hAnsi="Arial" w:cs="Arial"/>
        </w:rPr>
        <w:t>”</w:t>
      </w:r>
      <w:proofErr w:type="gramEnd"/>
      <w:r>
        <w:rPr>
          <w:rStyle w:val="Refdenotaderodap"/>
          <w:rFonts w:ascii="Arial" w:hAnsi="Arial" w:cs="Arial"/>
        </w:rPr>
        <w:footnoteReference w:id="65"/>
      </w:r>
      <w:r w:rsidRPr="00897C5E">
        <w:rPr>
          <w:rFonts w:ascii="Arial" w:hAnsi="Arial" w:cs="Arial"/>
        </w:rPr>
        <w:t xml:space="preserve">. </w:t>
      </w:r>
      <w:r>
        <w:rPr>
          <w:rFonts w:ascii="Arial" w:hAnsi="Arial" w:cs="Arial"/>
        </w:rPr>
        <w:t xml:space="preserve">Revela o </w:t>
      </w:r>
      <w:r w:rsidRPr="00897C5E">
        <w:rPr>
          <w:rFonts w:ascii="Arial" w:hAnsi="Arial" w:cs="Arial"/>
        </w:rPr>
        <w:t>“ingrediente essencial da</w:t>
      </w:r>
      <w:r>
        <w:rPr>
          <w:rFonts w:ascii="Arial" w:hAnsi="Arial" w:cs="Arial"/>
        </w:rPr>
        <w:t xml:space="preserve"> </w:t>
      </w:r>
      <w:r w:rsidRPr="00897C5E">
        <w:rPr>
          <w:rFonts w:ascii="Arial" w:hAnsi="Arial" w:cs="Arial"/>
        </w:rPr>
        <w:t>autoridade: alguém que tem a força e a usa para guiar os outros, disciplinando-os e</w:t>
      </w:r>
      <w:r>
        <w:rPr>
          <w:rFonts w:ascii="Arial" w:hAnsi="Arial" w:cs="Arial"/>
        </w:rPr>
        <w:t xml:space="preserve"> </w:t>
      </w:r>
      <w:r w:rsidRPr="00897C5E">
        <w:rPr>
          <w:rFonts w:ascii="Arial" w:hAnsi="Arial" w:cs="Arial"/>
        </w:rPr>
        <w:t>modificando seu</w:t>
      </w:r>
      <w:r>
        <w:rPr>
          <w:rFonts w:ascii="Arial" w:hAnsi="Arial" w:cs="Arial"/>
        </w:rPr>
        <w:t xml:space="preserve"> modo de agir, através da referê</w:t>
      </w:r>
      <w:r w:rsidRPr="00897C5E">
        <w:rPr>
          <w:rFonts w:ascii="Arial" w:hAnsi="Arial" w:cs="Arial"/>
        </w:rPr>
        <w:t>ncia a um padrão superior</w:t>
      </w:r>
      <w:proofErr w:type="gramStart"/>
      <w:r w:rsidRPr="00897C5E">
        <w:rPr>
          <w:rFonts w:ascii="Arial" w:hAnsi="Arial" w:cs="Arial"/>
        </w:rPr>
        <w:t>”</w:t>
      </w:r>
      <w:proofErr w:type="gramEnd"/>
      <w:r>
        <w:rPr>
          <w:rStyle w:val="Refdenotaderodap"/>
          <w:rFonts w:ascii="Arial" w:hAnsi="Arial" w:cs="Arial"/>
        </w:rPr>
        <w:footnoteReference w:id="66"/>
      </w:r>
      <w:r w:rsidRPr="00897C5E">
        <w:rPr>
          <w:rFonts w:ascii="Arial" w:hAnsi="Arial" w:cs="Arial"/>
        </w:rPr>
        <w:t>.</w:t>
      </w:r>
    </w:p>
    <w:p w:rsidR="003839D0" w:rsidRDefault="003839D0" w:rsidP="003839D0">
      <w:pPr>
        <w:ind w:firstLine="851"/>
        <w:jc w:val="both"/>
        <w:rPr>
          <w:rFonts w:ascii="Arial" w:hAnsi="Arial" w:cs="Arial"/>
        </w:rPr>
      </w:pPr>
      <w:r w:rsidRPr="00785D88">
        <w:rPr>
          <w:rFonts w:ascii="Arial" w:hAnsi="Arial" w:cs="Arial"/>
        </w:rPr>
        <w:t>Na atualidade fica claro como “os poderes formalmente</w:t>
      </w:r>
      <w:r>
        <w:rPr>
          <w:rFonts w:ascii="Arial" w:hAnsi="Arial" w:cs="Arial"/>
        </w:rPr>
        <w:t xml:space="preserve"> </w:t>
      </w:r>
      <w:r w:rsidRPr="00785D88">
        <w:rPr>
          <w:rFonts w:ascii="Arial" w:hAnsi="Arial" w:cs="Arial"/>
        </w:rPr>
        <w:t>legítimos das instituições dominantes inspiram um forte sentimento de ilegitimidade entre</w:t>
      </w:r>
      <w:r>
        <w:rPr>
          <w:rFonts w:ascii="Arial" w:hAnsi="Arial" w:cs="Arial"/>
        </w:rPr>
        <w:t xml:space="preserve"> </w:t>
      </w:r>
      <w:r w:rsidRPr="00785D88">
        <w:rPr>
          <w:rFonts w:ascii="Arial" w:hAnsi="Arial" w:cs="Arial"/>
        </w:rPr>
        <w:t>os que estão submetidos a ela</w:t>
      </w:r>
      <w:proofErr w:type="gramStart"/>
      <w:r w:rsidRPr="00785D88">
        <w:rPr>
          <w:rFonts w:ascii="Arial" w:hAnsi="Arial" w:cs="Arial"/>
        </w:rPr>
        <w:t>”</w:t>
      </w:r>
      <w:proofErr w:type="gramEnd"/>
      <w:r>
        <w:rPr>
          <w:rStyle w:val="Refdenotaderodap"/>
          <w:rFonts w:ascii="Arial" w:hAnsi="Arial" w:cs="Arial"/>
        </w:rPr>
        <w:footnoteReference w:id="67"/>
      </w:r>
      <w:r>
        <w:rPr>
          <w:rFonts w:ascii="Arial" w:hAnsi="Arial" w:cs="Arial"/>
        </w:rPr>
        <w:t>. As pessoas, porém,</w:t>
      </w:r>
      <w:r w:rsidRPr="00785D88">
        <w:rPr>
          <w:rFonts w:ascii="Arial" w:hAnsi="Arial" w:cs="Arial"/>
        </w:rPr>
        <w:t xml:space="preserve"> por mais que considerem algumas figuras de poder como ilegítimas</w:t>
      </w:r>
      <w:proofErr w:type="gramStart"/>
      <w:r w:rsidRPr="00785D88">
        <w:rPr>
          <w:rFonts w:ascii="Arial" w:hAnsi="Arial" w:cs="Arial"/>
        </w:rPr>
        <w:t>,</w:t>
      </w:r>
      <w:r>
        <w:rPr>
          <w:rFonts w:ascii="Arial" w:hAnsi="Arial" w:cs="Arial"/>
        </w:rPr>
        <w:t xml:space="preserve"> podem</w:t>
      </w:r>
      <w:proofErr w:type="gramEnd"/>
      <w:r>
        <w:rPr>
          <w:rFonts w:ascii="Arial" w:hAnsi="Arial" w:cs="Arial"/>
        </w:rPr>
        <w:t xml:space="preserve"> sentir-se atraídas e se submeterem a</w:t>
      </w:r>
      <w:r w:rsidRPr="00785D88">
        <w:rPr>
          <w:rFonts w:ascii="Arial" w:hAnsi="Arial" w:cs="Arial"/>
        </w:rPr>
        <w:t xml:space="preserve"> elas. </w:t>
      </w:r>
    </w:p>
    <w:p w:rsidR="003839D0" w:rsidRDefault="003839D0" w:rsidP="003839D0">
      <w:pPr>
        <w:ind w:firstLine="851"/>
        <w:jc w:val="both"/>
        <w:rPr>
          <w:rFonts w:ascii="Arial" w:hAnsi="Arial" w:cs="Arial"/>
        </w:rPr>
      </w:pPr>
      <w:r>
        <w:rPr>
          <w:rFonts w:ascii="Arial" w:hAnsi="Arial" w:cs="Arial"/>
        </w:rPr>
        <w:t>F</w:t>
      </w:r>
      <w:r w:rsidRPr="00785D88">
        <w:rPr>
          <w:rFonts w:ascii="Arial" w:hAnsi="Arial" w:cs="Arial"/>
        </w:rPr>
        <w:t xml:space="preserve">az-se exatamente o contrário do </w:t>
      </w:r>
      <w:r>
        <w:rPr>
          <w:rFonts w:ascii="Arial" w:hAnsi="Arial" w:cs="Arial"/>
        </w:rPr>
        <w:t xml:space="preserve">que </w:t>
      </w:r>
      <w:r w:rsidRPr="00785D88">
        <w:rPr>
          <w:rFonts w:ascii="Arial" w:hAnsi="Arial" w:cs="Arial"/>
        </w:rPr>
        <w:t>se espera</w:t>
      </w:r>
      <w:r>
        <w:rPr>
          <w:rFonts w:ascii="Arial" w:hAnsi="Arial" w:cs="Arial"/>
        </w:rPr>
        <w:t>.</w:t>
      </w:r>
      <w:r w:rsidRPr="00785D88">
        <w:rPr>
          <w:rFonts w:ascii="Arial" w:hAnsi="Arial" w:cs="Arial"/>
        </w:rPr>
        <w:t xml:space="preserve"> </w:t>
      </w:r>
      <w:r>
        <w:rPr>
          <w:rFonts w:ascii="Arial" w:hAnsi="Arial" w:cs="Arial"/>
        </w:rPr>
        <w:t>D</w:t>
      </w:r>
      <w:r w:rsidRPr="00785D88">
        <w:rPr>
          <w:rFonts w:ascii="Arial" w:hAnsi="Arial" w:cs="Arial"/>
        </w:rPr>
        <w:t>eprecia</w:t>
      </w:r>
      <w:r>
        <w:rPr>
          <w:rFonts w:ascii="Arial" w:hAnsi="Arial" w:cs="Arial"/>
        </w:rPr>
        <w:t xml:space="preserve">-se </w:t>
      </w:r>
      <w:r w:rsidRPr="00785D88">
        <w:rPr>
          <w:rFonts w:ascii="Arial" w:hAnsi="Arial" w:cs="Arial"/>
        </w:rPr>
        <w:t xml:space="preserve">constantemente e explicitamente a pessoa que representa a autoridade ou se </w:t>
      </w:r>
      <w:r w:rsidRPr="00785D88">
        <w:rPr>
          <w:rFonts w:ascii="Arial" w:hAnsi="Arial" w:cs="Arial"/>
        </w:rPr>
        <w:lastRenderedPageBreak/>
        <w:t>fantasia que</w:t>
      </w:r>
      <w:r>
        <w:rPr>
          <w:rFonts w:ascii="Arial" w:hAnsi="Arial" w:cs="Arial"/>
        </w:rPr>
        <w:t xml:space="preserve"> </w:t>
      </w:r>
      <w:r w:rsidRPr="00785D88">
        <w:rPr>
          <w:rFonts w:ascii="Arial" w:hAnsi="Arial" w:cs="Arial"/>
        </w:rPr>
        <w:t>não haveri</w:t>
      </w:r>
      <w:r>
        <w:rPr>
          <w:rFonts w:ascii="Arial" w:hAnsi="Arial" w:cs="Arial"/>
        </w:rPr>
        <w:t>a mais problemas sem tal figura,</w:t>
      </w:r>
      <w:r w:rsidRPr="00785D88">
        <w:rPr>
          <w:rFonts w:ascii="Arial" w:hAnsi="Arial" w:cs="Arial"/>
        </w:rPr>
        <w:t xml:space="preserve"> </w:t>
      </w:r>
      <w:r>
        <w:rPr>
          <w:rFonts w:ascii="Arial" w:hAnsi="Arial" w:cs="Arial"/>
        </w:rPr>
        <w:t>m</w:t>
      </w:r>
      <w:r w:rsidRPr="00785D88">
        <w:rPr>
          <w:rFonts w:ascii="Arial" w:hAnsi="Arial" w:cs="Arial"/>
        </w:rPr>
        <w:t xml:space="preserve">as ao mesmo tempo não </w:t>
      </w:r>
      <w:r>
        <w:rPr>
          <w:rFonts w:ascii="Arial" w:hAnsi="Arial" w:cs="Arial"/>
        </w:rPr>
        <w:t>se revela</w:t>
      </w:r>
      <w:r w:rsidRPr="00785D88">
        <w:rPr>
          <w:rFonts w:ascii="Arial" w:hAnsi="Arial" w:cs="Arial"/>
        </w:rPr>
        <w:t xml:space="preserve"> nenhum</w:t>
      </w:r>
      <w:r>
        <w:rPr>
          <w:rFonts w:ascii="Arial" w:hAnsi="Arial" w:cs="Arial"/>
        </w:rPr>
        <w:t xml:space="preserve"> </w:t>
      </w:r>
      <w:r w:rsidRPr="00785D88">
        <w:rPr>
          <w:rFonts w:ascii="Arial" w:hAnsi="Arial" w:cs="Arial"/>
        </w:rPr>
        <w:t>movimento verdadeiro no sentido do rompimento dessa relação. O que aparece é um medo</w:t>
      </w:r>
      <w:r>
        <w:rPr>
          <w:rFonts w:ascii="Arial" w:hAnsi="Arial" w:cs="Arial"/>
        </w:rPr>
        <w:t xml:space="preserve"> </w:t>
      </w:r>
      <w:r w:rsidRPr="00785D88">
        <w:rPr>
          <w:rFonts w:ascii="Arial" w:hAnsi="Arial" w:cs="Arial"/>
        </w:rPr>
        <w:t>da força da autoridade, indo desde o medo ao mau uso dessa força</w:t>
      </w:r>
      <w:r>
        <w:rPr>
          <w:rFonts w:ascii="Arial" w:hAnsi="Arial" w:cs="Arial"/>
        </w:rPr>
        <w:t xml:space="preserve"> pela autoridade</w:t>
      </w:r>
      <w:r w:rsidRPr="00785D88">
        <w:rPr>
          <w:rFonts w:ascii="Arial" w:hAnsi="Arial" w:cs="Arial"/>
        </w:rPr>
        <w:t>, até o desaparecimento</w:t>
      </w:r>
      <w:r>
        <w:rPr>
          <w:rFonts w:ascii="Arial" w:hAnsi="Arial" w:cs="Arial"/>
        </w:rPr>
        <w:t xml:space="preserve"> </w:t>
      </w:r>
      <w:r w:rsidRPr="00785D88">
        <w:rPr>
          <w:rFonts w:ascii="Arial" w:hAnsi="Arial" w:cs="Arial"/>
        </w:rPr>
        <w:t>dela</w:t>
      </w:r>
      <w:r>
        <w:rPr>
          <w:rFonts w:ascii="Arial" w:hAnsi="Arial" w:cs="Arial"/>
        </w:rPr>
        <w:t>,</w:t>
      </w:r>
      <w:r w:rsidRPr="00785D88">
        <w:rPr>
          <w:rFonts w:ascii="Arial" w:hAnsi="Arial" w:cs="Arial"/>
        </w:rPr>
        <w:t xml:space="preserve"> causando uma perda grave de referências.</w:t>
      </w:r>
    </w:p>
    <w:p w:rsidR="003839D0" w:rsidRDefault="003839D0" w:rsidP="003839D0">
      <w:pPr>
        <w:ind w:firstLine="851"/>
        <w:jc w:val="both"/>
        <w:rPr>
          <w:rFonts w:ascii="Arial" w:hAnsi="Arial" w:cs="Arial"/>
        </w:rPr>
      </w:pPr>
      <w:r>
        <w:rPr>
          <w:rFonts w:ascii="Arial" w:hAnsi="Arial" w:cs="Arial"/>
        </w:rPr>
        <w:t>Em instituições “arcaicas”, que se apresentam com uma pretensão de autoridade aparentemente inatacável, as expectativas cognitivas e normativas solidificam-se, formando um complexo indiviso de convicções, atingindo os que agem no interior de seu mundo vital social</w:t>
      </w:r>
      <w:r>
        <w:rPr>
          <w:rStyle w:val="Refdenotaderodap"/>
          <w:rFonts w:ascii="Arial" w:hAnsi="Arial" w:cs="Arial"/>
        </w:rPr>
        <w:footnoteReference w:id="68"/>
      </w:r>
      <w:r>
        <w:rPr>
          <w:rFonts w:ascii="Arial" w:hAnsi="Arial" w:cs="Arial"/>
        </w:rPr>
        <w:t>.</w:t>
      </w:r>
    </w:p>
    <w:p w:rsidR="003839D0" w:rsidRDefault="003839D0" w:rsidP="003839D0">
      <w:pPr>
        <w:ind w:firstLine="851"/>
        <w:jc w:val="both"/>
        <w:rPr>
          <w:rFonts w:ascii="Arial" w:hAnsi="Arial" w:cs="Arial"/>
        </w:rPr>
      </w:pPr>
      <w:r>
        <w:rPr>
          <w:rFonts w:ascii="Arial" w:hAnsi="Arial" w:cs="Arial"/>
        </w:rPr>
        <w:t>Restrições à comunicação, determinadas por cerimoniais, protegem contra questionamentos a validade autoritária, formando uma síndrome de validade, amparada pelo dualismo: entusiasmo e medo, veneração e pavor</w:t>
      </w:r>
      <w:r>
        <w:rPr>
          <w:rStyle w:val="Refdenotaderodap"/>
          <w:rFonts w:ascii="Arial" w:hAnsi="Arial" w:cs="Arial"/>
        </w:rPr>
        <w:footnoteReference w:id="69"/>
      </w:r>
      <w:r>
        <w:rPr>
          <w:rFonts w:ascii="Arial" w:hAnsi="Arial" w:cs="Arial"/>
        </w:rPr>
        <w:t xml:space="preserve">. </w:t>
      </w:r>
    </w:p>
    <w:p w:rsidR="003839D0" w:rsidRDefault="003839D0" w:rsidP="003839D0">
      <w:pPr>
        <w:ind w:firstLine="851"/>
        <w:jc w:val="both"/>
        <w:rPr>
          <w:rFonts w:ascii="Arial" w:hAnsi="Arial" w:cs="Arial"/>
        </w:rPr>
      </w:pPr>
      <w:r>
        <w:rPr>
          <w:rFonts w:ascii="Arial" w:hAnsi="Arial" w:cs="Arial"/>
        </w:rPr>
        <w:t>Necessário, portanto, que a instituição Polícia Militar seja repensada para que busque sua legitimidade não apenas pelo texto constitucional que lhe garante a primazia da missão de “policiamento ostensivo e preservação da ordem pública”, exercício mais visível do monopólio legítimo da força, mas pelo consenso democrático, escutando não só a comunidade, premissa do policiamento comunitário, mas também e primeiramente seus agentes, devendo necessariamente apagar as lembranças da ditadura e sua herança militar, seu “pai morto</w:t>
      </w:r>
      <w:proofErr w:type="gramStart"/>
      <w:r>
        <w:rPr>
          <w:rFonts w:ascii="Arial" w:hAnsi="Arial" w:cs="Arial"/>
        </w:rPr>
        <w:t>”</w:t>
      </w:r>
      <w:proofErr w:type="gramEnd"/>
      <w:r>
        <w:rPr>
          <w:rStyle w:val="Refdenotaderodap"/>
          <w:rFonts w:ascii="Arial" w:hAnsi="Arial" w:cs="Arial"/>
        </w:rPr>
        <w:footnoteReference w:id="70"/>
      </w:r>
      <w:r>
        <w:rPr>
          <w:rFonts w:ascii="Arial" w:hAnsi="Arial" w:cs="Arial"/>
        </w:rPr>
        <w:t>.</w:t>
      </w:r>
      <w:bookmarkStart w:id="0" w:name="_GoBack"/>
      <w:bookmarkEnd w:id="0"/>
    </w:p>
    <w:p w:rsidR="00521017" w:rsidRPr="00521017" w:rsidRDefault="00521017" w:rsidP="00521017">
      <w:pPr>
        <w:ind w:firstLine="851"/>
        <w:jc w:val="both"/>
        <w:rPr>
          <w:rFonts w:ascii="Arial" w:hAnsi="Arial" w:cs="Arial"/>
        </w:rPr>
      </w:pPr>
    </w:p>
    <w:p w:rsidR="00135478" w:rsidRPr="00521017" w:rsidRDefault="00135478" w:rsidP="00521017">
      <w:pPr>
        <w:rPr>
          <w:rFonts w:ascii="Arial" w:hAnsi="Arial" w:cs="Arial"/>
        </w:rPr>
      </w:pPr>
    </w:p>
    <w:sectPr w:rsidR="00135478" w:rsidRPr="00521017" w:rsidSect="00383F6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1A" w:rsidRDefault="00F8681A" w:rsidP="00383F68">
      <w:r>
        <w:separator/>
      </w:r>
    </w:p>
  </w:endnote>
  <w:endnote w:type="continuationSeparator" w:id="0">
    <w:p w:rsidR="00F8681A" w:rsidRDefault="00F8681A" w:rsidP="0038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1A" w:rsidRDefault="00F8681A" w:rsidP="00383F68">
      <w:r>
        <w:separator/>
      </w:r>
    </w:p>
  </w:footnote>
  <w:footnote w:type="continuationSeparator" w:id="0">
    <w:p w:rsidR="00F8681A" w:rsidRDefault="00F8681A" w:rsidP="00383F68">
      <w:r>
        <w:continuationSeparator/>
      </w:r>
    </w:p>
  </w:footnote>
  <w:footnote w:id="1">
    <w:p w:rsidR="00383F68" w:rsidRPr="00383F68" w:rsidRDefault="00383F68" w:rsidP="00383F68">
      <w:pPr>
        <w:pStyle w:val="Textodenotaderodap"/>
        <w:spacing w:after="80"/>
        <w:jc w:val="both"/>
        <w:rPr>
          <w:rFonts w:ascii="Arial" w:hAnsi="Arial" w:cs="Arial"/>
        </w:rPr>
      </w:pPr>
      <w:r w:rsidRPr="00383F68">
        <w:rPr>
          <w:rStyle w:val="Refdenotaderodap"/>
          <w:rFonts w:ascii="Arial" w:hAnsi="Arial" w:cs="Arial"/>
        </w:rPr>
        <w:footnoteRef/>
      </w:r>
      <w:r w:rsidRPr="00383F68">
        <w:rPr>
          <w:rFonts w:ascii="Arial" w:hAnsi="Arial" w:cs="Arial"/>
        </w:rPr>
        <w:t xml:space="preserve"> </w:t>
      </w:r>
      <w:r>
        <w:rPr>
          <w:rFonts w:ascii="Arial" w:hAnsi="Arial" w:cs="Arial"/>
        </w:rPr>
        <w:t xml:space="preserve">Mestre em Políticas Públicas pela UFPR. Oficial da Polícia Militar do Paraná. Professora na Escola Superior de Segurança Pública. Contato: </w:t>
      </w:r>
      <w:hyperlink r:id="rId1" w:history="1">
        <w:r w:rsidRPr="00AC3FD5">
          <w:rPr>
            <w:rStyle w:val="Hyperlink"/>
            <w:rFonts w:ascii="Arial" w:hAnsi="Arial" w:cs="Arial"/>
          </w:rPr>
          <w:t>diegonogueira@ufpr.br</w:t>
        </w:r>
      </w:hyperlink>
      <w:r>
        <w:rPr>
          <w:rFonts w:ascii="Arial" w:hAnsi="Arial" w:cs="Arial"/>
        </w:rPr>
        <w:t xml:space="preserve">. Lattes: </w:t>
      </w:r>
      <w:hyperlink r:id="rId2" w:history="1">
        <w:r w:rsidRPr="00383F68">
          <w:rPr>
            <w:rFonts w:ascii="Arial" w:hAnsi="Arial" w:cs="Arial"/>
          </w:rPr>
          <w:t>http://lattes</w:t>
        </w:r>
      </w:hyperlink>
      <w:r w:rsidRPr="00383F68">
        <w:rPr>
          <w:rFonts w:ascii="Arial" w:hAnsi="Arial" w:cs="Arial"/>
        </w:rPr>
        <w:t xml:space="preserve">. </w:t>
      </w:r>
      <w:proofErr w:type="gramStart"/>
      <w:r w:rsidRPr="00383F68">
        <w:rPr>
          <w:rFonts w:ascii="Arial" w:hAnsi="Arial" w:cs="Arial"/>
        </w:rPr>
        <w:t>cnpq</w:t>
      </w:r>
      <w:proofErr w:type="gramEnd"/>
      <w:r w:rsidRPr="00383F68">
        <w:rPr>
          <w:rFonts w:ascii="Arial" w:hAnsi="Arial" w:cs="Arial"/>
        </w:rPr>
        <w:t>.br/4013157257201505</w:t>
      </w:r>
      <w:r>
        <w:rPr>
          <w:rFonts w:ascii="Arial" w:hAnsi="Arial" w:cs="Arial"/>
        </w:rPr>
        <w:t>.</w:t>
      </w:r>
    </w:p>
  </w:footnote>
  <w:footnote w:id="2">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sidRPr="00A621FB">
        <w:rPr>
          <w:rFonts w:ascii="Arial" w:hAnsi="Arial" w:cs="Arial"/>
        </w:rPr>
        <w:t xml:space="preserve"> ADORNO, Sérgio. </w:t>
      </w:r>
      <w:r>
        <w:rPr>
          <w:rFonts w:ascii="Arial" w:hAnsi="Arial" w:cs="Arial"/>
          <w:b/>
        </w:rPr>
        <w:t>O monopólio estatal da violência na sociedade brasileira contemporânea</w:t>
      </w:r>
      <w:r>
        <w:rPr>
          <w:rFonts w:ascii="Arial" w:hAnsi="Arial" w:cs="Arial"/>
        </w:rPr>
        <w:t xml:space="preserve"> [online]. Disponível em &lt;http://www.nevusp.org/downloads/down078.pdf&gt;. Arquivo capturado em 06 de junho de 2013.</w:t>
      </w:r>
    </w:p>
  </w:footnote>
  <w:footnote w:id="3">
    <w:p w:rsidR="00383F68" w:rsidRDefault="00383F68" w:rsidP="00383F68">
      <w:pPr>
        <w:pStyle w:val="Textodenotaderodap"/>
        <w:spacing w:after="80"/>
        <w:jc w:val="both"/>
        <w:rPr>
          <w:sz w:val="24"/>
          <w:szCs w:val="24"/>
        </w:rPr>
      </w:pPr>
      <w:r>
        <w:rPr>
          <w:rFonts w:ascii="Arial" w:hAnsi="Arial" w:cs="Arial"/>
          <w:vertAlign w:val="superscript"/>
        </w:rPr>
        <w:footnoteRef/>
      </w:r>
      <w:r>
        <w:rPr>
          <w:rFonts w:ascii="Arial" w:hAnsi="Arial" w:cs="Arial"/>
          <w:vertAlign w:val="superscript"/>
        </w:rPr>
        <w:t xml:space="preserve"> </w:t>
      </w:r>
      <w:r>
        <w:rPr>
          <w:rFonts w:ascii="Arial" w:hAnsi="Arial" w:cs="Arial"/>
        </w:rPr>
        <w:t>Idem.</w:t>
      </w:r>
    </w:p>
  </w:footnote>
  <w:footnote w:id="4">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“O uso da força como instrumento principal para controlar manifestações públicas e motins, em detrimento de outras técnicas, como negociação, isolamento e dispersão de multidões, também é uma das formas de violência policial. Dado o caráter eminentemente político deste tipo de atividade policial, o controle violento de manifestações públicas como passeatas, greves e protestos é uma das formas mais visíveis de violência policial. Regimes autoritários são facilmente relacionados a esse tipo de violência em função do sistemático uso das polícias para conter a contestação política. Entretanto, esse tipo de violência policial pode ser encontrado em regimes democráticos, por exemplo, nos EUA, durante as décadas de 1960 e 70, a polícia era acusada de recorrer frequentemente à violência para conter as manifestações públicas”. In: COSTA, Arthur Trindade Maranhão. </w:t>
      </w:r>
      <w:r>
        <w:rPr>
          <w:rFonts w:ascii="Arial" w:hAnsi="Arial" w:cs="Arial"/>
          <w:b/>
        </w:rPr>
        <w:t>Entre a lei e a ordem:</w:t>
      </w:r>
      <w:r>
        <w:rPr>
          <w:rFonts w:ascii="Arial" w:hAnsi="Arial" w:cs="Arial"/>
        </w:rPr>
        <w:t xml:space="preserve"> violência e reforma nas polícias do Rio de Janeiro e Nova York. Rio de Janeiro: Editora FGV, 2004, p.16.</w:t>
      </w:r>
    </w:p>
    <w:p w:rsidR="00383F68" w:rsidRDefault="00383F68" w:rsidP="00383F68">
      <w:pPr>
        <w:pStyle w:val="Textodenotaderodap"/>
        <w:spacing w:after="80"/>
        <w:jc w:val="both"/>
        <w:rPr>
          <w:rFonts w:ascii="Arial" w:hAnsi="Arial" w:cs="Arial"/>
        </w:rPr>
      </w:pPr>
    </w:p>
  </w:footnote>
  <w:footnote w:id="5">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DIAS, Lúcia Lemos. Op. cit.</w:t>
      </w:r>
    </w:p>
  </w:footnote>
  <w:footnote w:id="6">
    <w:p w:rsidR="00383F68" w:rsidRDefault="00383F68" w:rsidP="00383F68">
      <w:pPr>
        <w:autoSpaceDE w:val="0"/>
        <w:autoSpaceDN w:val="0"/>
        <w:adjustRightInd w:val="0"/>
        <w:spacing w:after="80"/>
        <w:jc w:val="both"/>
        <w:rPr>
          <w:rFonts w:ascii="Arial" w:hAnsi="Arial" w:cs="Arial"/>
          <w:sz w:val="20"/>
          <w:szCs w:val="20"/>
        </w:rPr>
      </w:pPr>
      <w:r>
        <w:rPr>
          <w:rStyle w:val="Refdenotaderodap"/>
          <w:rFonts w:ascii="Arial" w:hAnsi="Arial" w:cs="Arial"/>
          <w:sz w:val="20"/>
          <w:szCs w:val="20"/>
        </w:rPr>
        <w:footnoteRef/>
      </w:r>
      <w:r>
        <w:rPr>
          <w:rFonts w:ascii="Arial" w:hAnsi="Arial" w:cs="Arial"/>
          <w:sz w:val="20"/>
          <w:szCs w:val="20"/>
        </w:rPr>
        <w:t xml:space="preserve"> SOUZA, Robson Sávio Reis. </w:t>
      </w:r>
      <w:r>
        <w:rPr>
          <w:rFonts w:ascii="Arial" w:hAnsi="Arial" w:cs="Arial"/>
          <w:b/>
          <w:sz w:val="20"/>
          <w:szCs w:val="20"/>
        </w:rPr>
        <w:t>Política de segurança:</w:t>
      </w:r>
      <w:r>
        <w:rPr>
          <w:rFonts w:ascii="Arial" w:hAnsi="Arial" w:cs="Arial"/>
          <w:sz w:val="20"/>
          <w:szCs w:val="20"/>
        </w:rPr>
        <w:t xml:space="preserve"> grandes desafios [online]. Disponível em &lt;http://www.cartacapital.com.br/sociedade/politica-de-seguranca-publica-grandes-desafios&gt;. Arquivo capturado em 02 de junho de 2013.</w:t>
      </w:r>
    </w:p>
  </w:footnote>
  <w:footnote w:id="7">
    <w:p w:rsidR="00383F68" w:rsidRDefault="00383F68" w:rsidP="00383F68">
      <w:pPr>
        <w:autoSpaceDE w:val="0"/>
        <w:autoSpaceDN w:val="0"/>
        <w:adjustRightInd w:val="0"/>
        <w:spacing w:after="80"/>
        <w:jc w:val="both"/>
      </w:pPr>
      <w:r>
        <w:rPr>
          <w:rFonts w:ascii="Arial" w:hAnsi="Arial" w:cs="Arial"/>
          <w:sz w:val="20"/>
          <w:szCs w:val="20"/>
          <w:vertAlign w:val="superscript"/>
        </w:rPr>
        <w:footnoteRef/>
      </w:r>
      <w:r>
        <w:rPr>
          <w:rFonts w:ascii="Arial" w:hAnsi="Arial" w:cs="Arial"/>
          <w:sz w:val="20"/>
          <w:szCs w:val="20"/>
        </w:rPr>
        <w:t xml:space="preserve"> PEDROSO, Regina Célia. </w:t>
      </w:r>
      <w:r>
        <w:rPr>
          <w:rFonts w:ascii="Arial" w:hAnsi="Arial" w:cs="Arial"/>
          <w:b/>
          <w:sz w:val="20"/>
          <w:szCs w:val="20"/>
        </w:rPr>
        <w:t>Estado autoritário e ideologia policial.</w:t>
      </w:r>
      <w:r>
        <w:rPr>
          <w:rFonts w:ascii="Arial" w:hAnsi="Arial" w:cs="Arial"/>
          <w:sz w:val="20"/>
          <w:szCs w:val="20"/>
        </w:rPr>
        <w:t xml:space="preserve"> São Paulo: </w:t>
      </w:r>
      <w:proofErr w:type="gramStart"/>
      <w:r>
        <w:rPr>
          <w:rFonts w:ascii="Arial" w:hAnsi="Arial" w:cs="Arial"/>
          <w:sz w:val="20"/>
          <w:szCs w:val="20"/>
        </w:rPr>
        <w:t>Fapesp</w:t>
      </w:r>
      <w:proofErr w:type="gramEnd"/>
      <w:r>
        <w:rPr>
          <w:rFonts w:ascii="Arial" w:hAnsi="Arial" w:cs="Arial"/>
          <w:sz w:val="20"/>
          <w:szCs w:val="20"/>
        </w:rPr>
        <w:t>, 2005, p. 49.</w:t>
      </w:r>
    </w:p>
  </w:footnote>
  <w:footnote w:id="8">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Idem.</w:t>
      </w:r>
    </w:p>
  </w:footnote>
  <w:footnote w:id="9">
    <w:p w:rsidR="00383F68" w:rsidRDefault="00383F68" w:rsidP="00383F68">
      <w:pPr>
        <w:pStyle w:val="Textodenotaderodap"/>
        <w:spacing w:after="80"/>
        <w:jc w:val="both"/>
      </w:pPr>
      <w:r>
        <w:rPr>
          <w:rStyle w:val="Refdenotaderodap"/>
          <w:rFonts w:ascii="Arial" w:hAnsi="Arial" w:cs="Arial"/>
        </w:rPr>
        <w:footnoteRef/>
      </w:r>
      <w:r>
        <w:rPr>
          <w:rFonts w:ascii="Arial" w:hAnsi="Arial" w:cs="Arial"/>
        </w:rPr>
        <w:t xml:space="preserve"> MORAES, Pedro Rodolfo </w:t>
      </w:r>
      <w:proofErr w:type="spellStart"/>
      <w:r>
        <w:rPr>
          <w:rFonts w:ascii="Arial" w:hAnsi="Arial" w:cs="Arial"/>
        </w:rPr>
        <w:t>Bodê</w:t>
      </w:r>
      <w:proofErr w:type="spellEnd"/>
      <w:r>
        <w:rPr>
          <w:rFonts w:ascii="Arial" w:hAnsi="Arial" w:cs="Arial"/>
        </w:rPr>
        <w:t xml:space="preserve"> de. </w:t>
      </w:r>
      <w:r>
        <w:rPr>
          <w:rFonts w:ascii="Arial" w:hAnsi="Arial" w:cs="Arial"/>
          <w:b/>
        </w:rPr>
        <w:t>Em defesa do Estado ou da sociedade</w:t>
      </w:r>
      <w:r>
        <w:rPr>
          <w:rFonts w:ascii="Arial" w:hAnsi="Arial" w:cs="Arial"/>
        </w:rPr>
        <w:t xml:space="preserve"> [online]. Disponível em &lt; </w:t>
      </w:r>
      <w:proofErr w:type="gramStart"/>
      <w:r>
        <w:rPr>
          <w:rFonts w:ascii="Arial" w:hAnsi="Arial" w:cs="Arial"/>
        </w:rPr>
        <w:t>http://www.ninc.com.br/coluna-especial-detail.</w:t>
      </w:r>
      <w:proofErr w:type="gramEnd"/>
      <w:r>
        <w:rPr>
          <w:rFonts w:ascii="Arial" w:hAnsi="Arial" w:cs="Arial"/>
        </w:rPr>
        <w:t>php?</w:t>
      </w:r>
      <w:proofErr w:type="gramStart"/>
      <w:r>
        <w:rPr>
          <w:rFonts w:ascii="Arial" w:hAnsi="Arial" w:cs="Arial"/>
        </w:rPr>
        <w:t>id_coluna</w:t>
      </w:r>
      <w:proofErr w:type="gramEnd"/>
      <w:r>
        <w:rPr>
          <w:rFonts w:ascii="Arial" w:hAnsi="Arial" w:cs="Arial"/>
        </w:rPr>
        <w:t>=13&gt;. Arquivo capturado em 27 de agosto de 2013.</w:t>
      </w:r>
    </w:p>
  </w:footnote>
  <w:footnote w:id="10">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MEDEIROS, Mateus Afonso. A desmilitarização das polícias e a legislação ordinária. </w:t>
      </w:r>
      <w:r>
        <w:rPr>
          <w:rFonts w:ascii="Arial" w:hAnsi="Arial" w:cs="Arial"/>
          <w:b/>
        </w:rPr>
        <w:t>Revista de Informação Legislativa</w:t>
      </w:r>
      <w:r>
        <w:rPr>
          <w:rFonts w:ascii="Arial" w:hAnsi="Arial" w:cs="Arial"/>
        </w:rPr>
        <w:t>, Brasília, a. 42, n. 165, jan./mar., 2005, p. 239-40.</w:t>
      </w:r>
    </w:p>
  </w:footnote>
  <w:footnote w:id="11">
    <w:p w:rsidR="00383F68" w:rsidRDefault="00383F68" w:rsidP="00383F68">
      <w:pPr>
        <w:pStyle w:val="Textodenotaderodap"/>
        <w:jc w:val="both"/>
        <w:rPr>
          <w:rFonts w:ascii="Arial" w:hAnsi="Arial" w:cs="Arial"/>
        </w:rPr>
      </w:pPr>
      <w:r>
        <w:rPr>
          <w:rStyle w:val="Refdenotaderodap"/>
          <w:rFonts w:ascii="Arial" w:hAnsi="Arial" w:cs="Arial"/>
        </w:rPr>
        <w:footnoteRef/>
      </w:r>
      <w:r>
        <w:rPr>
          <w:rFonts w:ascii="Arial" w:hAnsi="Arial" w:cs="Arial"/>
        </w:rPr>
        <w:t xml:space="preserve"> Idem.</w:t>
      </w:r>
    </w:p>
  </w:footnote>
  <w:footnote w:id="12">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MORAES, Pedro Rodolfo </w:t>
      </w:r>
      <w:proofErr w:type="spellStart"/>
      <w:r>
        <w:rPr>
          <w:rFonts w:ascii="Arial" w:hAnsi="Arial" w:cs="Arial"/>
        </w:rPr>
        <w:t>Bodê</w:t>
      </w:r>
      <w:proofErr w:type="spellEnd"/>
      <w:r>
        <w:rPr>
          <w:rFonts w:ascii="Arial" w:hAnsi="Arial" w:cs="Arial"/>
        </w:rPr>
        <w:t xml:space="preserve"> de. </w:t>
      </w:r>
      <w:r>
        <w:rPr>
          <w:rFonts w:ascii="Arial" w:hAnsi="Arial" w:cs="Arial"/>
          <w:b/>
        </w:rPr>
        <w:t>O Largo da (Des</w:t>
      </w:r>
      <w:proofErr w:type="gramStart"/>
      <w:r>
        <w:rPr>
          <w:rFonts w:ascii="Arial" w:hAnsi="Arial" w:cs="Arial"/>
          <w:b/>
        </w:rPr>
        <w:t>)Ordem</w:t>
      </w:r>
      <w:proofErr w:type="gramEnd"/>
      <w:r>
        <w:rPr>
          <w:rFonts w:ascii="Arial" w:hAnsi="Arial" w:cs="Arial"/>
        </w:rPr>
        <w:t xml:space="preserve"> [online]. Disponível em &lt;</w:t>
      </w:r>
      <w:proofErr w:type="gramStart"/>
      <w:r>
        <w:rPr>
          <w:rFonts w:ascii="Arial" w:hAnsi="Arial" w:cs="Arial"/>
        </w:rPr>
        <w:t>http://www.ninc.com.br/coluna-especial-detail.</w:t>
      </w:r>
      <w:proofErr w:type="gramEnd"/>
      <w:r>
        <w:rPr>
          <w:rFonts w:ascii="Arial" w:hAnsi="Arial" w:cs="Arial"/>
        </w:rPr>
        <w:t>php?</w:t>
      </w:r>
      <w:proofErr w:type="gramStart"/>
      <w:r>
        <w:rPr>
          <w:rFonts w:ascii="Arial" w:hAnsi="Arial" w:cs="Arial"/>
        </w:rPr>
        <w:t>id_coluna</w:t>
      </w:r>
      <w:proofErr w:type="gramEnd"/>
      <w:r>
        <w:rPr>
          <w:rFonts w:ascii="Arial" w:hAnsi="Arial" w:cs="Arial"/>
        </w:rPr>
        <w:t>=8&gt;. Arquivo capturado em 27 de junho de 2013.</w:t>
      </w:r>
    </w:p>
  </w:footnote>
  <w:footnote w:id="13">
    <w:p w:rsidR="00383F68" w:rsidRDefault="00383F68" w:rsidP="00383F68">
      <w:pPr>
        <w:autoSpaceDE w:val="0"/>
        <w:autoSpaceDN w:val="0"/>
        <w:adjustRightInd w:val="0"/>
        <w:spacing w:after="80"/>
        <w:jc w:val="both"/>
        <w:rPr>
          <w:rFonts w:ascii="Arial" w:hAnsi="Arial" w:cs="Arial"/>
        </w:rPr>
      </w:pPr>
      <w:r>
        <w:rPr>
          <w:rFonts w:ascii="Arial" w:hAnsi="Arial" w:cs="Arial"/>
          <w:sz w:val="20"/>
          <w:szCs w:val="20"/>
          <w:vertAlign w:val="superscript"/>
        </w:rPr>
        <w:footnoteRef/>
      </w:r>
      <w:r>
        <w:rPr>
          <w:rFonts w:ascii="Arial" w:hAnsi="Arial" w:cs="Arial"/>
          <w:sz w:val="20"/>
          <w:szCs w:val="20"/>
        </w:rPr>
        <w:t xml:space="preserve"> HIPÓLITO, Marcello Martinez. A Formação Policial no Brasil e seus Desafios. </w:t>
      </w:r>
      <w:r>
        <w:rPr>
          <w:rFonts w:ascii="Arial" w:hAnsi="Arial" w:cs="Arial"/>
          <w:b/>
          <w:sz w:val="20"/>
          <w:szCs w:val="20"/>
        </w:rPr>
        <w:t>Revista Jurídica do Ministério Público Catarinense</w:t>
      </w:r>
      <w:r>
        <w:rPr>
          <w:rFonts w:ascii="Arial" w:hAnsi="Arial" w:cs="Arial"/>
          <w:sz w:val="20"/>
          <w:szCs w:val="20"/>
        </w:rPr>
        <w:t>, Florianópolis, v. 3, p. 55-64, 2004.</w:t>
      </w:r>
    </w:p>
  </w:footnote>
  <w:footnote w:id="14">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MUNIZ, Jacqueline de Oliveira; PROENÇA JÚNIOR, </w:t>
      </w:r>
      <w:proofErr w:type="spellStart"/>
      <w:r>
        <w:rPr>
          <w:rFonts w:ascii="Arial" w:hAnsi="Arial" w:cs="Arial"/>
        </w:rPr>
        <w:t>Domício</w:t>
      </w:r>
      <w:proofErr w:type="spellEnd"/>
      <w:r>
        <w:rPr>
          <w:rFonts w:ascii="Arial" w:hAnsi="Arial" w:cs="Arial"/>
        </w:rPr>
        <w:t xml:space="preserve">. </w:t>
      </w:r>
      <w:r>
        <w:rPr>
          <w:rFonts w:ascii="Arial" w:hAnsi="Arial" w:cs="Arial"/>
          <w:b/>
        </w:rPr>
        <w:t xml:space="preserve">Muita politicagem, </w:t>
      </w:r>
      <w:proofErr w:type="gramStart"/>
      <w:r>
        <w:rPr>
          <w:rFonts w:ascii="Arial" w:hAnsi="Arial" w:cs="Arial"/>
          <w:b/>
        </w:rPr>
        <w:t>pouca política são</w:t>
      </w:r>
      <w:proofErr w:type="gramEnd"/>
      <w:r>
        <w:rPr>
          <w:rStyle w:val="Refdenotaderodap"/>
          <w:rFonts w:ascii="Arial" w:hAnsi="Arial" w:cs="Arial"/>
          <w:b/>
        </w:rPr>
        <w:t xml:space="preserve"> </w:t>
      </w:r>
      <w:r>
        <w:rPr>
          <w:rFonts w:ascii="Arial" w:hAnsi="Arial" w:cs="Arial"/>
          <w:b/>
        </w:rPr>
        <w:t>os problemas da polícia</w:t>
      </w:r>
      <w:r>
        <w:rPr>
          <w:rFonts w:ascii="Arial" w:hAnsi="Arial" w:cs="Arial"/>
        </w:rPr>
        <w:t xml:space="preserve"> [online].  Disponível em &lt;http://www.scielo.br/pdf/ea/v21n61/ a11v2161.pdf&gt;. Arquivo capturado em 21 de agosto de 2013.</w:t>
      </w:r>
    </w:p>
  </w:footnote>
  <w:footnote w:id="15">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DIAS, Lúcia Lemos. Op. cit.</w:t>
      </w:r>
    </w:p>
  </w:footnote>
  <w:footnote w:id="16">
    <w:p w:rsidR="00383F68" w:rsidRDefault="00383F68" w:rsidP="00383F68">
      <w:pPr>
        <w:autoSpaceDE w:val="0"/>
        <w:autoSpaceDN w:val="0"/>
        <w:adjustRightInd w:val="0"/>
        <w:spacing w:after="80"/>
        <w:jc w:val="both"/>
        <w:rPr>
          <w:rFonts w:ascii="Arial" w:hAnsi="Arial" w:cs="Arial"/>
          <w:sz w:val="20"/>
          <w:szCs w:val="20"/>
        </w:rPr>
      </w:pPr>
      <w:r>
        <w:rPr>
          <w:rStyle w:val="Refdenotaderodap"/>
          <w:rFonts w:ascii="Arial" w:hAnsi="Arial" w:cs="Arial"/>
          <w:sz w:val="20"/>
          <w:szCs w:val="20"/>
        </w:rPr>
        <w:footnoteRef/>
      </w:r>
      <w:r>
        <w:rPr>
          <w:rFonts w:ascii="Arial" w:hAnsi="Arial" w:cs="Arial"/>
          <w:sz w:val="20"/>
          <w:szCs w:val="20"/>
        </w:rPr>
        <w:t xml:space="preserve"> PERES, Paulo Sérgio. </w:t>
      </w:r>
      <w:r>
        <w:rPr>
          <w:rFonts w:ascii="Arial" w:hAnsi="Arial" w:cs="Arial"/>
          <w:b/>
          <w:sz w:val="20"/>
          <w:szCs w:val="20"/>
        </w:rPr>
        <w:t>Comportamento ou instituições?</w:t>
      </w:r>
      <w:r>
        <w:rPr>
          <w:rFonts w:ascii="Arial" w:hAnsi="Arial" w:cs="Arial"/>
          <w:sz w:val="20"/>
          <w:szCs w:val="20"/>
        </w:rPr>
        <w:t xml:space="preserve"> A evolução histórica do </w:t>
      </w:r>
      <w:proofErr w:type="spellStart"/>
      <w:r>
        <w:rPr>
          <w:rFonts w:ascii="Arial" w:hAnsi="Arial" w:cs="Arial"/>
          <w:sz w:val="20"/>
          <w:szCs w:val="20"/>
        </w:rPr>
        <w:t>neo-institucionalismo</w:t>
      </w:r>
      <w:proofErr w:type="spellEnd"/>
      <w:r>
        <w:rPr>
          <w:rFonts w:ascii="Arial" w:hAnsi="Arial" w:cs="Arial"/>
          <w:sz w:val="20"/>
          <w:szCs w:val="20"/>
        </w:rPr>
        <w:t xml:space="preserve"> da ciência política. Revista Brasileira de Ciências Sociais. [online]. São Paulo, vol.23, n.68, 2008.</w:t>
      </w:r>
    </w:p>
  </w:footnote>
  <w:footnote w:id="17">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HALL, Peter A.; TAYLOR, Rosemary C. R. </w:t>
      </w:r>
      <w:r>
        <w:rPr>
          <w:rFonts w:ascii="Arial" w:hAnsi="Arial" w:cs="Arial"/>
          <w:b/>
        </w:rPr>
        <w:t xml:space="preserve">As três versões do </w:t>
      </w:r>
      <w:proofErr w:type="spellStart"/>
      <w:r>
        <w:rPr>
          <w:rFonts w:ascii="Arial" w:hAnsi="Arial" w:cs="Arial"/>
          <w:b/>
        </w:rPr>
        <w:t>neo-institucionalismo</w:t>
      </w:r>
      <w:proofErr w:type="spellEnd"/>
      <w:r>
        <w:rPr>
          <w:rFonts w:ascii="Arial" w:hAnsi="Arial" w:cs="Arial"/>
          <w:b/>
        </w:rPr>
        <w:t>.</w:t>
      </w:r>
      <w:r>
        <w:rPr>
          <w:rFonts w:ascii="Arial" w:hAnsi="Arial" w:cs="Arial"/>
        </w:rPr>
        <w:t xml:space="preserve"> </w:t>
      </w:r>
      <w:r>
        <w:rPr>
          <w:rFonts w:ascii="Arial" w:hAnsi="Arial" w:cs="Arial"/>
          <w:bCs/>
        </w:rPr>
        <w:t>Lua Nova: Revista de Cultura e Política</w:t>
      </w:r>
      <w:r>
        <w:rPr>
          <w:rFonts w:ascii="Arial" w:hAnsi="Arial" w:cs="Arial"/>
          <w:b/>
          <w:bCs/>
        </w:rPr>
        <w:t xml:space="preserve"> </w:t>
      </w:r>
      <w:r>
        <w:rPr>
          <w:rFonts w:ascii="Arial" w:hAnsi="Arial" w:cs="Arial"/>
        </w:rPr>
        <w:t>[online]. São Paulo, n.58, 2003.</w:t>
      </w:r>
    </w:p>
  </w:footnote>
  <w:footnote w:id="18">
    <w:p w:rsidR="00383F68" w:rsidRPr="00383F68" w:rsidRDefault="00383F68" w:rsidP="00383F68">
      <w:pPr>
        <w:pStyle w:val="Textodenotaderodap"/>
        <w:spacing w:after="80"/>
        <w:jc w:val="both"/>
        <w:rPr>
          <w:rFonts w:ascii="Arial" w:hAnsi="Arial" w:cs="Arial"/>
          <w:lang w:val="en-US"/>
        </w:rPr>
      </w:pPr>
      <w:r>
        <w:rPr>
          <w:rStyle w:val="Refdenotaderodap"/>
          <w:rFonts w:ascii="Arial" w:hAnsi="Arial" w:cs="Arial"/>
        </w:rPr>
        <w:footnoteRef/>
      </w:r>
      <w:r w:rsidRPr="00383F68">
        <w:rPr>
          <w:rFonts w:ascii="Arial" w:hAnsi="Arial" w:cs="Arial"/>
          <w:lang w:val="en-US"/>
        </w:rPr>
        <w:t xml:space="preserve"> </w:t>
      </w:r>
      <w:r w:rsidRPr="00383F68">
        <w:rPr>
          <w:rFonts w:ascii="Arial" w:hAnsi="Arial" w:cs="Arial"/>
          <w:lang w:val="en-US"/>
        </w:rPr>
        <w:t>Idem.</w:t>
      </w:r>
    </w:p>
  </w:footnote>
  <w:footnote w:id="19">
    <w:p w:rsidR="00383F68" w:rsidRPr="00383F68" w:rsidRDefault="00383F68" w:rsidP="00383F68">
      <w:pPr>
        <w:pStyle w:val="Textodenotaderodap"/>
        <w:spacing w:after="80"/>
        <w:jc w:val="both"/>
        <w:rPr>
          <w:rFonts w:ascii="Arial" w:hAnsi="Arial" w:cs="Arial"/>
          <w:lang w:val="en-US"/>
        </w:rPr>
      </w:pPr>
      <w:r>
        <w:rPr>
          <w:rStyle w:val="Refdenotaderodap"/>
          <w:rFonts w:ascii="Arial" w:hAnsi="Arial" w:cs="Arial"/>
        </w:rPr>
        <w:footnoteRef/>
      </w:r>
      <w:r>
        <w:rPr>
          <w:rFonts w:ascii="Arial" w:hAnsi="Arial" w:cs="Arial"/>
          <w:lang w:val="en-US"/>
        </w:rPr>
        <w:t xml:space="preserve"> </w:t>
      </w:r>
      <w:r>
        <w:rPr>
          <w:rFonts w:ascii="Arial" w:hAnsi="Arial" w:cs="Arial"/>
          <w:lang w:val="en-US"/>
        </w:rPr>
        <w:t xml:space="preserve">GRANOVETTER, </w:t>
      </w:r>
      <w:r>
        <w:rPr>
          <w:rFonts w:ascii="Arial" w:hAnsi="Arial" w:cs="Arial"/>
          <w:lang w:val="en-US"/>
        </w:rPr>
        <w:t xml:space="preserve">Mark. </w:t>
      </w:r>
      <w:r>
        <w:rPr>
          <w:rFonts w:ascii="Arial" w:hAnsi="Arial" w:cs="Arial"/>
          <w:b/>
          <w:lang w:val="en-US"/>
        </w:rPr>
        <w:t>Le marché autrement</w:t>
      </w:r>
      <w:r>
        <w:rPr>
          <w:rFonts w:ascii="Arial" w:hAnsi="Arial" w:cs="Arial"/>
          <w:lang w:val="en-US"/>
        </w:rPr>
        <w:t xml:space="preserve">. </w:t>
      </w:r>
      <w:r w:rsidRPr="00383F68">
        <w:rPr>
          <w:rFonts w:ascii="Arial" w:hAnsi="Arial" w:cs="Arial"/>
          <w:lang w:val="en-US"/>
        </w:rPr>
        <w:t>Paris: Desclée de Brouwer, 2000, p. 208.</w:t>
      </w:r>
    </w:p>
  </w:footnote>
  <w:footnote w:id="20">
    <w:p w:rsidR="00383F68" w:rsidRDefault="00383F68" w:rsidP="00383F68">
      <w:pPr>
        <w:pStyle w:val="Textodenotaderodap"/>
        <w:spacing w:after="80"/>
        <w:jc w:val="both"/>
        <w:rPr>
          <w:lang w:val="en-US"/>
        </w:rPr>
      </w:pPr>
      <w:r>
        <w:rPr>
          <w:rStyle w:val="Refdenotaderodap"/>
          <w:rFonts w:ascii="Arial" w:hAnsi="Arial" w:cs="Arial"/>
        </w:rPr>
        <w:footnoteRef/>
      </w:r>
      <w:r>
        <w:rPr>
          <w:lang w:val="en-US"/>
        </w:rPr>
        <w:t xml:space="preserve"> </w:t>
      </w:r>
      <w:r>
        <w:rPr>
          <w:rFonts w:ascii="Arial" w:hAnsi="Arial" w:cs="Arial"/>
          <w:lang w:val="en-US"/>
        </w:rPr>
        <w:t xml:space="preserve">GRANOVETTER, </w:t>
      </w:r>
      <w:r>
        <w:rPr>
          <w:rFonts w:ascii="Arial" w:hAnsi="Arial" w:cs="Arial"/>
          <w:lang w:val="en-US"/>
        </w:rPr>
        <w:t xml:space="preserve">Mark. Economic action and social structure: the problem of embeddedness. </w:t>
      </w:r>
      <w:r>
        <w:rPr>
          <w:rFonts w:ascii="Arial" w:hAnsi="Arial" w:cs="Arial"/>
          <w:b/>
          <w:lang w:val="en-US"/>
        </w:rPr>
        <w:t>American Hournal of Sociology</w:t>
      </w:r>
      <w:r>
        <w:rPr>
          <w:rFonts w:ascii="Arial" w:hAnsi="Arial" w:cs="Arial"/>
          <w:lang w:val="en-US"/>
        </w:rPr>
        <w:t>, v. 91, n. 3, p. 481-510.</w:t>
      </w:r>
    </w:p>
  </w:footnote>
  <w:footnote w:id="21">
    <w:p w:rsidR="00383F68" w:rsidRDefault="00383F68" w:rsidP="00383F68">
      <w:pPr>
        <w:pStyle w:val="Textodenotaderodap"/>
        <w:spacing w:after="80"/>
        <w:jc w:val="both"/>
        <w:rPr>
          <w:rFonts w:ascii="Arial" w:hAnsi="Arial" w:cs="Arial"/>
          <w:lang w:val="en-US"/>
        </w:rPr>
      </w:pPr>
      <w:r>
        <w:rPr>
          <w:rStyle w:val="Refdenotaderodap"/>
          <w:rFonts w:ascii="Arial" w:hAnsi="Arial" w:cs="Arial"/>
        </w:rPr>
        <w:footnoteRef/>
      </w:r>
      <w:r>
        <w:rPr>
          <w:rFonts w:ascii="Arial" w:hAnsi="Arial" w:cs="Arial"/>
          <w:lang w:val="en-US"/>
        </w:rPr>
        <w:t xml:space="preserve"> </w:t>
      </w:r>
      <w:r>
        <w:rPr>
          <w:rFonts w:ascii="Arial" w:hAnsi="Arial" w:cs="Arial"/>
          <w:lang w:val="en-US"/>
        </w:rPr>
        <w:t>Idem.</w:t>
      </w:r>
    </w:p>
  </w:footnote>
  <w:footnote w:id="22">
    <w:p w:rsidR="00383F68" w:rsidRDefault="00383F68" w:rsidP="00383F68">
      <w:pPr>
        <w:pStyle w:val="Textodenotaderodap"/>
        <w:spacing w:after="80"/>
        <w:jc w:val="both"/>
        <w:rPr>
          <w:rFonts w:ascii="Arial" w:hAnsi="Arial" w:cs="Arial"/>
          <w:lang w:val="en-US"/>
        </w:rPr>
      </w:pPr>
      <w:r>
        <w:rPr>
          <w:rStyle w:val="Refdenotaderodap"/>
          <w:rFonts w:ascii="Arial" w:hAnsi="Arial" w:cs="Arial"/>
        </w:rPr>
        <w:footnoteRef/>
      </w:r>
      <w:r>
        <w:rPr>
          <w:rFonts w:ascii="Arial" w:hAnsi="Arial" w:cs="Arial"/>
          <w:lang w:val="en-US"/>
        </w:rPr>
        <w:t xml:space="preserve"> </w:t>
      </w:r>
      <w:r>
        <w:rPr>
          <w:rFonts w:ascii="Arial" w:hAnsi="Arial" w:cs="Arial"/>
          <w:lang w:val="en-US"/>
        </w:rPr>
        <w:t>Idem.</w:t>
      </w:r>
    </w:p>
  </w:footnote>
  <w:footnote w:id="23">
    <w:p w:rsidR="00383F68" w:rsidRPr="00383F68" w:rsidRDefault="00383F68" w:rsidP="00383F68">
      <w:pPr>
        <w:pStyle w:val="Textodenotaderodap"/>
        <w:spacing w:after="80"/>
        <w:jc w:val="both"/>
        <w:rPr>
          <w:rFonts w:ascii="Arial" w:hAnsi="Arial" w:cs="Arial"/>
          <w:lang w:val="en-US"/>
        </w:rPr>
      </w:pPr>
      <w:r>
        <w:rPr>
          <w:rStyle w:val="Refdenotaderodap"/>
          <w:rFonts w:ascii="Arial" w:hAnsi="Arial" w:cs="Arial"/>
        </w:rPr>
        <w:footnoteRef/>
      </w:r>
      <w:r>
        <w:rPr>
          <w:rFonts w:ascii="Arial" w:hAnsi="Arial" w:cs="Arial"/>
          <w:lang w:val="en-US"/>
        </w:rPr>
        <w:t xml:space="preserve"> </w:t>
      </w:r>
      <w:r>
        <w:rPr>
          <w:rFonts w:ascii="Arial" w:hAnsi="Arial" w:cs="Arial"/>
          <w:lang w:val="en-US"/>
        </w:rPr>
        <w:t xml:space="preserve">Bayley, </w:t>
      </w:r>
      <w:r>
        <w:rPr>
          <w:rFonts w:ascii="Arial" w:hAnsi="Arial" w:cs="Arial"/>
          <w:lang w:val="en-US"/>
        </w:rPr>
        <w:t xml:space="preserve">David. The police and political development in Europe. In: TILLY, Charles. </w:t>
      </w:r>
      <w:r>
        <w:rPr>
          <w:rFonts w:ascii="Arial" w:hAnsi="Arial" w:cs="Arial"/>
          <w:b/>
          <w:lang w:val="en-US"/>
        </w:rPr>
        <w:t>The Formation of National State</w:t>
      </w:r>
      <w:r w:rsidRPr="00383F68">
        <w:rPr>
          <w:rFonts w:ascii="Arial" w:hAnsi="Arial" w:cs="Arial"/>
          <w:b/>
          <w:lang w:val="en-US"/>
        </w:rPr>
        <w:t>s in Western Europe.</w:t>
      </w:r>
      <w:r w:rsidRPr="00383F68">
        <w:rPr>
          <w:rFonts w:ascii="Arial" w:hAnsi="Arial" w:cs="Arial"/>
          <w:lang w:val="en-US"/>
        </w:rPr>
        <w:t xml:space="preserve"> Princeton: Princeton University Press, 1975, p. 328.  </w:t>
      </w:r>
    </w:p>
  </w:footnote>
  <w:footnote w:id="24">
    <w:p w:rsidR="00383F68" w:rsidRPr="00383F68" w:rsidRDefault="00383F68" w:rsidP="00383F68">
      <w:pPr>
        <w:pStyle w:val="Textodenotaderodap"/>
        <w:spacing w:after="80"/>
        <w:jc w:val="both"/>
        <w:rPr>
          <w:rFonts w:ascii="Arial" w:hAnsi="Arial" w:cs="Arial"/>
          <w:lang w:val="en-US"/>
        </w:rPr>
      </w:pPr>
      <w:r>
        <w:rPr>
          <w:rStyle w:val="Refdenotaderodap"/>
          <w:rFonts w:ascii="Arial" w:hAnsi="Arial" w:cs="Arial"/>
        </w:rPr>
        <w:footnoteRef/>
      </w:r>
      <w:r w:rsidRPr="00383F68">
        <w:rPr>
          <w:rFonts w:ascii="Arial" w:hAnsi="Arial" w:cs="Arial"/>
          <w:lang w:val="en-US"/>
        </w:rPr>
        <w:t xml:space="preserve"> </w:t>
      </w:r>
      <w:r w:rsidRPr="00383F68">
        <w:rPr>
          <w:rFonts w:ascii="Arial" w:hAnsi="Arial" w:cs="Arial"/>
          <w:lang w:val="en-US"/>
        </w:rPr>
        <w:t>Idem.</w:t>
      </w:r>
    </w:p>
  </w:footnote>
  <w:footnote w:id="25">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sidRPr="00383F68">
        <w:rPr>
          <w:rFonts w:ascii="Arial" w:hAnsi="Arial" w:cs="Arial"/>
          <w:lang w:val="en-US"/>
        </w:rPr>
        <w:t xml:space="preserve"> </w:t>
      </w:r>
      <w:r w:rsidRPr="00383F68">
        <w:rPr>
          <w:rFonts w:ascii="Arial" w:hAnsi="Arial" w:cs="Arial"/>
          <w:lang w:val="en-US"/>
        </w:rPr>
        <w:t xml:space="preserve">SKOLNICK, Jerome. </w:t>
      </w:r>
      <w:r w:rsidRPr="00383F68">
        <w:rPr>
          <w:rFonts w:ascii="Arial" w:hAnsi="Arial" w:cs="Arial"/>
          <w:b/>
          <w:lang w:val="en-US"/>
        </w:rPr>
        <w:t xml:space="preserve">Justice without a trial. </w:t>
      </w:r>
      <w:r>
        <w:rPr>
          <w:rFonts w:ascii="Arial" w:hAnsi="Arial" w:cs="Arial"/>
        </w:rPr>
        <w:t xml:space="preserve">New York: </w:t>
      </w:r>
      <w:proofErr w:type="spellStart"/>
      <w:r>
        <w:rPr>
          <w:rFonts w:ascii="Arial" w:hAnsi="Arial" w:cs="Arial"/>
        </w:rPr>
        <w:t>Macmillian</w:t>
      </w:r>
      <w:proofErr w:type="spellEnd"/>
      <w:r>
        <w:rPr>
          <w:rFonts w:ascii="Arial" w:hAnsi="Arial" w:cs="Arial"/>
        </w:rPr>
        <w:t>, 1994, p. 06.</w:t>
      </w:r>
    </w:p>
  </w:footnote>
  <w:footnote w:id="26">
    <w:p w:rsidR="00383F68" w:rsidRDefault="00383F68" w:rsidP="00383F68">
      <w:pPr>
        <w:autoSpaceDE w:val="0"/>
        <w:autoSpaceDN w:val="0"/>
        <w:adjustRightInd w:val="0"/>
        <w:spacing w:after="80"/>
        <w:jc w:val="both"/>
        <w:rPr>
          <w:rFonts w:ascii="Arial" w:hAnsi="Arial" w:cs="Arial"/>
          <w:sz w:val="20"/>
          <w:szCs w:val="20"/>
        </w:rPr>
      </w:pPr>
      <w:r>
        <w:rPr>
          <w:rStyle w:val="Refdenotaderodap"/>
          <w:rFonts w:ascii="Arial" w:hAnsi="Arial" w:cs="Arial"/>
          <w:sz w:val="20"/>
          <w:szCs w:val="20"/>
        </w:rPr>
        <w:footnoteRef/>
      </w:r>
      <w:r>
        <w:rPr>
          <w:rFonts w:ascii="Arial" w:hAnsi="Arial" w:cs="Arial"/>
          <w:sz w:val="20"/>
          <w:szCs w:val="20"/>
        </w:rPr>
        <w:t xml:space="preserve"> As políticas de segurança pública calcadas na teoria da “lei e ordem” e na técnica policial intitulada “tolerância zero” apregoam a receita de combater a violência cotidiana e a criminalidade comum com o aumento do poder punitivo em suas diversas formas, isto é, enrijecendo a criminalização primária, endurecendo as penas privativas de liberdade, enfim, com o cenário da </w:t>
      </w:r>
      <w:proofErr w:type="spellStart"/>
      <w:proofErr w:type="gramStart"/>
      <w:r>
        <w:rPr>
          <w:rFonts w:ascii="Arial" w:hAnsi="Arial" w:cs="Arial"/>
          <w:sz w:val="20"/>
          <w:szCs w:val="20"/>
        </w:rPr>
        <w:t>hiper-criminalização</w:t>
      </w:r>
      <w:proofErr w:type="spellEnd"/>
      <w:proofErr w:type="gramEnd"/>
      <w:r>
        <w:rPr>
          <w:rFonts w:ascii="Arial" w:hAnsi="Arial" w:cs="Arial"/>
          <w:sz w:val="20"/>
          <w:szCs w:val="20"/>
        </w:rPr>
        <w:t xml:space="preserve"> e do </w:t>
      </w:r>
      <w:proofErr w:type="spellStart"/>
      <w:r>
        <w:rPr>
          <w:rFonts w:ascii="Arial" w:hAnsi="Arial" w:cs="Arial"/>
          <w:sz w:val="20"/>
          <w:szCs w:val="20"/>
        </w:rPr>
        <w:t>ultra-encarceramento</w:t>
      </w:r>
      <w:proofErr w:type="spellEnd"/>
      <w:r>
        <w:rPr>
          <w:rFonts w:ascii="Arial" w:hAnsi="Arial" w:cs="Arial"/>
          <w:sz w:val="20"/>
          <w:szCs w:val="20"/>
        </w:rPr>
        <w:t>, e de outra monta, no aspecto da criminalização secundária, trabalham com a legitimação do “poder punitivo subterrâneo”, das execuções sumárias e da violência policial, dentre outras práticas.</w:t>
      </w:r>
    </w:p>
  </w:footnote>
  <w:footnote w:id="27">
    <w:p w:rsidR="00383F68" w:rsidRDefault="00383F68" w:rsidP="00383F68">
      <w:pPr>
        <w:autoSpaceDE w:val="0"/>
        <w:autoSpaceDN w:val="0"/>
        <w:adjustRightInd w:val="0"/>
        <w:spacing w:after="80"/>
        <w:jc w:val="both"/>
        <w:rPr>
          <w:rFonts w:ascii="Arial" w:hAnsi="Arial" w:cs="Arial"/>
          <w:sz w:val="20"/>
          <w:szCs w:val="20"/>
        </w:rPr>
      </w:pPr>
      <w:r>
        <w:rPr>
          <w:rStyle w:val="Refdenotaderodap"/>
          <w:rFonts w:ascii="Arial" w:hAnsi="Arial" w:cs="Arial"/>
          <w:sz w:val="20"/>
          <w:szCs w:val="20"/>
        </w:rPr>
        <w:footnoteRef/>
      </w:r>
      <w:r>
        <w:rPr>
          <w:rFonts w:ascii="Arial" w:hAnsi="Arial" w:cs="Arial"/>
          <w:sz w:val="20"/>
          <w:szCs w:val="20"/>
        </w:rPr>
        <w:t xml:space="preserve"> SOUZA NETO,</w:t>
      </w:r>
      <w:r>
        <w:rPr>
          <w:rFonts w:ascii="Arial" w:hAnsi="Arial" w:cs="Arial"/>
          <w:b/>
          <w:bCs/>
          <w:sz w:val="20"/>
          <w:szCs w:val="20"/>
        </w:rPr>
        <w:t xml:space="preserve"> </w:t>
      </w:r>
      <w:r>
        <w:rPr>
          <w:rFonts w:ascii="Arial" w:hAnsi="Arial" w:cs="Arial"/>
          <w:sz w:val="20"/>
          <w:szCs w:val="20"/>
        </w:rPr>
        <w:t xml:space="preserve">Cláudio Pereira de. </w:t>
      </w:r>
      <w:r>
        <w:rPr>
          <w:rFonts w:ascii="Arial" w:hAnsi="Arial" w:cs="Arial"/>
          <w:b/>
          <w:sz w:val="20"/>
          <w:szCs w:val="20"/>
        </w:rPr>
        <w:t>A</w:t>
      </w:r>
      <w:r>
        <w:rPr>
          <w:rFonts w:ascii="Arial" w:hAnsi="Arial" w:cs="Arial"/>
          <w:b/>
          <w:bCs/>
          <w:sz w:val="20"/>
          <w:szCs w:val="20"/>
        </w:rPr>
        <w:t xml:space="preserve"> segurança pública na Constituição Federal de 1988: </w:t>
      </w:r>
      <w:r>
        <w:rPr>
          <w:rFonts w:ascii="Arial" w:hAnsi="Arial" w:cs="Arial"/>
          <w:bCs/>
          <w:sz w:val="20"/>
          <w:szCs w:val="20"/>
        </w:rPr>
        <w:t>conceituação constitucionalmente adequada, competências federativas e órgãos de execução das políticas [online]</w:t>
      </w:r>
      <w:r>
        <w:rPr>
          <w:rFonts w:ascii="Arial" w:hAnsi="Arial" w:cs="Arial"/>
          <w:sz w:val="20"/>
          <w:szCs w:val="20"/>
        </w:rPr>
        <w:t>. Disponível em &lt;</w:t>
      </w:r>
      <w:hyperlink r:id="rId3" w:history="1">
        <w:r>
          <w:rPr>
            <w:rStyle w:val="Hyperlink"/>
            <w:rFonts w:ascii="Arial" w:hAnsi="Arial" w:cs="Arial"/>
            <w:color w:val="auto"/>
            <w:sz w:val="20"/>
            <w:szCs w:val="20"/>
            <w:u w:val="none"/>
          </w:rPr>
          <w:t>http://www.oab.org.br/editora/revista/users/revista/120550597417 4218181901.pdf</w:t>
        </w:r>
      </w:hyperlink>
      <w:r>
        <w:rPr>
          <w:rFonts w:ascii="Arial" w:hAnsi="Arial" w:cs="Arial"/>
          <w:sz w:val="20"/>
          <w:szCs w:val="20"/>
        </w:rPr>
        <w:t>&gt;. Arquivo capturado em 02 de junho de 2013.</w:t>
      </w:r>
    </w:p>
  </w:footnote>
  <w:footnote w:id="28">
    <w:p w:rsidR="00383F68" w:rsidRDefault="00383F68" w:rsidP="00383F68">
      <w:pPr>
        <w:pStyle w:val="Textodenotaderodap"/>
        <w:spacing w:after="80"/>
        <w:jc w:val="both"/>
        <w:rPr>
          <w:rFonts w:ascii="Arial" w:hAnsi="Arial" w:cs="Arial"/>
          <w:b/>
        </w:rPr>
      </w:pPr>
      <w:r>
        <w:rPr>
          <w:rStyle w:val="Refdenotaderodap"/>
          <w:rFonts w:ascii="Arial" w:hAnsi="Arial" w:cs="Arial"/>
        </w:rPr>
        <w:footnoteRef/>
      </w:r>
      <w:r>
        <w:rPr>
          <w:rFonts w:ascii="Arial" w:hAnsi="Arial" w:cs="Arial"/>
        </w:rPr>
        <w:t xml:space="preserve"> COSTA, Arthur Trindade Maranhão. </w:t>
      </w:r>
      <w:r>
        <w:rPr>
          <w:rFonts w:ascii="Arial" w:hAnsi="Arial" w:cs="Arial"/>
          <w:b/>
        </w:rPr>
        <w:t>Estado,</w:t>
      </w:r>
      <w:r>
        <w:rPr>
          <w:rFonts w:ascii="Arial" w:hAnsi="Arial" w:cs="Arial"/>
        </w:rPr>
        <w:t xml:space="preserve"> </w:t>
      </w:r>
      <w:r>
        <w:rPr>
          <w:rFonts w:ascii="Arial" w:hAnsi="Arial" w:cs="Arial"/>
          <w:b/>
        </w:rPr>
        <w:t xml:space="preserve">Polícia e Democracia. </w:t>
      </w:r>
      <w:r>
        <w:rPr>
          <w:rFonts w:ascii="Arial" w:hAnsi="Arial" w:cs="Arial"/>
        </w:rPr>
        <w:t>Tese (Doutorado), Universidade de Brasília, Programa de Pós-graduação em Sociologia, 2001, cap. 1.</w:t>
      </w:r>
    </w:p>
  </w:footnote>
  <w:footnote w:id="29">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MOREIRA NETO, Diogo de Figueiredo. </w:t>
      </w:r>
      <w:r>
        <w:rPr>
          <w:rFonts w:ascii="Arial" w:hAnsi="Arial" w:cs="Arial"/>
          <w:b/>
        </w:rPr>
        <w:t>Direito administrativo da ordem pública</w:t>
      </w:r>
      <w:r>
        <w:rPr>
          <w:rFonts w:ascii="Arial" w:hAnsi="Arial" w:cs="Arial"/>
        </w:rPr>
        <w:t xml:space="preserve">. 2. </w:t>
      </w:r>
      <w:proofErr w:type="gramStart"/>
      <w:r>
        <w:rPr>
          <w:rFonts w:ascii="Arial" w:hAnsi="Arial" w:cs="Arial"/>
        </w:rPr>
        <w:t>ed.</w:t>
      </w:r>
      <w:proofErr w:type="gramEnd"/>
      <w:r>
        <w:rPr>
          <w:rFonts w:ascii="Arial" w:hAnsi="Arial" w:cs="Arial"/>
        </w:rPr>
        <w:t xml:space="preserve"> Rio de Janeiro: Forense, 1987, p.138.</w:t>
      </w:r>
    </w:p>
  </w:footnote>
  <w:footnote w:id="30">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O conceito de poder de polícia se extrai do art. 78 do Código Tributário Nacional: </w:t>
      </w:r>
      <w:r>
        <w:rPr>
          <w:rFonts w:ascii="Arial" w:hAnsi="Arial" w:cs="Arial"/>
          <w:i/>
        </w:rPr>
        <w:t>“considera-se poder de polícia atividade da administração pública que, limitando ou disciplinando direito, interesse ou liberdade, regula a prática de ato ou a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w:t>
      </w:r>
      <w:r>
        <w:rPr>
          <w:rFonts w:ascii="Arial" w:hAnsi="Arial" w:cs="Arial"/>
        </w:rPr>
        <w:t>.</w:t>
      </w:r>
    </w:p>
  </w:footnote>
  <w:footnote w:id="31">
    <w:p w:rsidR="00383F68" w:rsidRDefault="00383F68" w:rsidP="00383F68">
      <w:pPr>
        <w:pStyle w:val="Textodenotaderodap"/>
        <w:spacing w:after="80"/>
        <w:jc w:val="both"/>
        <w:rPr>
          <w:rFonts w:ascii="Arial" w:hAnsi="Arial" w:cs="Arial"/>
        </w:rPr>
      </w:pPr>
      <w:r>
        <w:rPr>
          <w:rFonts w:ascii="Arial" w:hAnsi="Arial" w:cs="Arial"/>
          <w:vertAlign w:val="superscript"/>
        </w:rPr>
        <w:footnoteRef/>
      </w:r>
      <w:r>
        <w:rPr>
          <w:rFonts w:ascii="Arial" w:hAnsi="Arial" w:cs="Arial"/>
        </w:rPr>
        <w:t xml:space="preserve"> MORAES, Pedro Rodolfo </w:t>
      </w:r>
      <w:proofErr w:type="spellStart"/>
      <w:r>
        <w:rPr>
          <w:rFonts w:ascii="Arial" w:hAnsi="Arial" w:cs="Arial"/>
        </w:rPr>
        <w:t>Bodê</w:t>
      </w:r>
      <w:proofErr w:type="spellEnd"/>
      <w:r>
        <w:rPr>
          <w:rFonts w:ascii="Arial" w:hAnsi="Arial" w:cs="Arial"/>
        </w:rPr>
        <w:t xml:space="preserve"> de. </w:t>
      </w:r>
      <w:r>
        <w:rPr>
          <w:rFonts w:ascii="Arial" w:hAnsi="Arial" w:cs="Arial"/>
          <w:b/>
        </w:rPr>
        <w:t>O Largo...</w:t>
      </w:r>
      <w:r>
        <w:rPr>
          <w:rFonts w:ascii="Arial" w:hAnsi="Arial" w:cs="Arial"/>
        </w:rPr>
        <w:t xml:space="preserve"> Op. cit.</w:t>
      </w:r>
    </w:p>
  </w:footnote>
  <w:footnote w:id="32">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Idem.</w:t>
      </w:r>
    </w:p>
  </w:footnote>
  <w:footnote w:id="33">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MONET, Jean-Claude. </w:t>
      </w:r>
      <w:proofErr w:type="gramStart"/>
      <w:r>
        <w:rPr>
          <w:rFonts w:ascii="Arial" w:hAnsi="Arial" w:cs="Arial"/>
          <w:b/>
        </w:rPr>
        <w:t>Polícias ...</w:t>
      </w:r>
      <w:proofErr w:type="gramEnd"/>
      <w:r>
        <w:rPr>
          <w:rFonts w:ascii="Arial" w:hAnsi="Arial" w:cs="Arial"/>
        </w:rPr>
        <w:t xml:space="preserve"> Op. cit., p. 239.</w:t>
      </w:r>
    </w:p>
  </w:footnote>
  <w:footnote w:id="34">
    <w:p w:rsidR="00383F68" w:rsidRDefault="00383F68" w:rsidP="00383F68">
      <w:pPr>
        <w:pStyle w:val="Textodenotaderodap"/>
        <w:jc w:val="both"/>
        <w:rPr>
          <w:rFonts w:ascii="Arial" w:hAnsi="Arial" w:cs="Arial"/>
        </w:rPr>
      </w:pPr>
      <w:r>
        <w:rPr>
          <w:rStyle w:val="Refdenotaderodap"/>
          <w:rFonts w:ascii="Arial" w:hAnsi="Arial" w:cs="Arial"/>
        </w:rPr>
        <w:footnoteRef/>
      </w:r>
      <w:r>
        <w:rPr>
          <w:rFonts w:ascii="Arial" w:hAnsi="Arial" w:cs="Arial"/>
        </w:rPr>
        <w:t xml:space="preserve"> Idem.</w:t>
      </w:r>
    </w:p>
  </w:footnote>
  <w:footnote w:id="35">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COSTA, Arthur Trindade Maranhão. Op. cit.</w:t>
      </w:r>
    </w:p>
  </w:footnote>
  <w:footnote w:id="36">
    <w:p w:rsidR="00383F68" w:rsidRDefault="00383F68" w:rsidP="00383F68">
      <w:pPr>
        <w:pStyle w:val="Textodenotaderodap"/>
        <w:spacing w:after="80"/>
        <w:jc w:val="both"/>
      </w:pPr>
      <w:r>
        <w:rPr>
          <w:rStyle w:val="Refdenotaderodap"/>
          <w:rFonts w:ascii="Arial" w:hAnsi="Arial" w:cs="Arial"/>
        </w:rPr>
        <w:footnoteRef/>
      </w:r>
      <w:r>
        <w:rPr>
          <w:rFonts w:ascii="Arial" w:hAnsi="Arial" w:cs="Arial"/>
        </w:rPr>
        <w:t xml:space="preserve"> Idem.</w:t>
      </w:r>
      <w:r>
        <w:t xml:space="preserve"> </w:t>
      </w:r>
    </w:p>
  </w:footnote>
  <w:footnote w:id="37">
    <w:p w:rsidR="00383F68" w:rsidRDefault="00383F68" w:rsidP="00383F68">
      <w:pPr>
        <w:pStyle w:val="Textodenotaderodap"/>
        <w:spacing w:after="80"/>
        <w:jc w:val="both"/>
        <w:rPr>
          <w:rFonts w:ascii="Arial" w:hAnsi="Arial" w:cs="Arial"/>
        </w:rPr>
      </w:pPr>
      <w:r>
        <w:rPr>
          <w:rFonts w:ascii="Arial" w:hAnsi="Arial" w:cs="Arial"/>
          <w:vertAlign w:val="superscript"/>
        </w:rPr>
        <w:footnoteRef/>
      </w:r>
      <w:r>
        <w:rPr>
          <w:rFonts w:ascii="Arial" w:hAnsi="Arial" w:cs="Arial"/>
          <w:vertAlign w:val="superscript"/>
        </w:rPr>
        <w:t xml:space="preserve"> </w:t>
      </w:r>
      <w:r>
        <w:rPr>
          <w:rFonts w:ascii="Arial" w:hAnsi="Arial" w:cs="Arial"/>
        </w:rPr>
        <w:t xml:space="preserve">COSTA, Arthur Trindade Maranhão. As reformas nas polícias e seus obstáculos: uma análise comparada das interações entre a sociedade civil, a sociedade política e as polícias. </w:t>
      </w:r>
      <w:proofErr w:type="spellStart"/>
      <w:r>
        <w:rPr>
          <w:rFonts w:ascii="Arial" w:hAnsi="Arial" w:cs="Arial"/>
          <w:b/>
        </w:rPr>
        <w:t>Civitas</w:t>
      </w:r>
      <w:proofErr w:type="spellEnd"/>
      <w:r>
        <w:rPr>
          <w:rFonts w:ascii="Arial" w:hAnsi="Arial" w:cs="Arial"/>
        </w:rPr>
        <w:t>: Revista de Ciências sociais, v. 8, p. 410, 2008.</w:t>
      </w:r>
    </w:p>
  </w:footnote>
  <w:footnote w:id="38">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SHEPTYCKI, James. </w:t>
      </w:r>
      <w:proofErr w:type="spellStart"/>
      <w:r>
        <w:rPr>
          <w:rFonts w:ascii="Arial" w:hAnsi="Arial" w:cs="Arial"/>
        </w:rPr>
        <w:t>Actuación</w:t>
      </w:r>
      <w:proofErr w:type="spellEnd"/>
      <w:r>
        <w:rPr>
          <w:rFonts w:ascii="Arial" w:hAnsi="Arial" w:cs="Arial"/>
        </w:rPr>
        <w:t xml:space="preserve"> policial frente a una protesta política, </w:t>
      </w:r>
      <w:proofErr w:type="spellStart"/>
      <w:r>
        <w:rPr>
          <w:rFonts w:ascii="Arial" w:hAnsi="Arial" w:cs="Arial"/>
        </w:rPr>
        <w:t>cuando</w:t>
      </w:r>
      <w:proofErr w:type="spellEnd"/>
      <w:r>
        <w:rPr>
          <w:rFonts w:ascii="Arial" w:hAnsi="Arial" w:cs="Arial"/>
        </w:rPr>
        <w:t xml:space="preserve"> </w:t>
      </w:r>
      <w:proofErr w:type="spellStart"/>
      <w:proofErr w:type="gramStart"/>
      <w:r>
        <w:rPr>
          <w:rFonts w:ascii="Arial" w:hAnsi="Arial" w:cs="Arial"/>
        </w:rPr>
        <w:t>la</w:t>
      </w:r>
      <w:proofErr w:type="spellEnd"/>
      <w:proofErr w:type="gramEnd"/>
      <w:r>
        <w:rPr>
          <w:rFonts w:ascii="Arial" w:hAnsi="Arial" w:cs="Arial"/>
        </w:rPr>
        <w:t xml:space="preserve"> política se </w:t>
      </w:r>
      <w:proofErr w:type="spellStart"/>
      <w:r>
        <w:rPr>
          <w:rFonts w:ascii="Arial" w:hAnsi="Arial" w:cs="Arial"/>
        </w:rPr>
        <w:t>vuelve</w:t>
      </w:r>
      <w:proofErr w:type="spellEnd"/>
      <w:r>
        <w:rPr>
          <w:rFonts w:ascii="Arial" w:hAnsi="Arial" w:cs="Arial"/>
        </w:rPr>
        <w:t xml:space="preserve"> global. </w:t>
      </w:r>
      <w:proofErr w:type="spellStart"/>
      <w:r>
        <w:rPr>
          <w:rFonts w:ascii="Arial" w:hAnsi="Arial" w:cs="Arial"/>
          <w:b/>
        </w:rPr>
        <w:t>Cenipec</w:t>
      </w:r>
      <w:proofErr w:type="spellEnd"/>
      <w:r>
        <w:rPr>
          <w:rFonts w:ascii="Arial" w:hAnsi="Arial" w:cs="Arial"/>
        </w:rPr>
        <w:t>, v. 25, p. 253, jan./dez., 2006.</w:t>
      </w:r>
    </w:p>
  </w:footnote>
  <w:footnote w:id="39">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SOUZA NETO, Cláudio Pereira de. Op. cit.</w:t>
      </w:r>
    </w:p>
  </w:footnote>
  <w:footnote w:id="40">
    <w:p w:rsidR="00383F68" w:rsidRDefault="00383F68" w:rsidP="00383F68">
      <w:pPr>
        <w:spacing w:after="80"/>
        <w:jc w:val="both"/>
      </w:pPr>
      <w:r>
        <w:rPr>
          <w:rStyle w:val="Refdenotaderodap"/>
          <w:rFonts w:ascii="Arial" w:hAnsi="Arial" w:cs="Arial"/>
          <w:sz w:val="20"/>
          <w:szCs w:val="20"/>
        </w:rPr>
        <w:footnoteRef/>
      </w:r>
      <w:r>
        <w:rPr>
          <w:rFonts w:ascii="Arial" w:hAnsi="Arial" w:cs="Arial"/>
          <w:sz w:val="20"/>
          <w:szCs w:val="20"/>
        </w:rPr>
        <w:t xml:space="preserve"> LAZZARINI, </w:t>
      </w:r>
      <w:r>
        <w:rPr>
          <w:rFonts w:ascii="Arial" w:hAnsi="Arial" w:cs="Arial"/>
          <w:b/>
          <w:sz w:val="20"/>
          <w:szCs w:val="20"/>
        </w:rPr>
        <w:t>Álvaro. Direito administrativo da ordem pública.</w:t>
      </w:r>
      <w:r>
        <w:rPr>
          <w:rFonts w:ascii="Arial" w:hAnsi="Arial" w:cs="Arial"/>
          <w:sz w:val="20"/>
          <w:szCs w:val="20"/>
        </w:rPr>
        <w:t xml:space="preserve"> </w:t>
      </w:r>
      <w:proofErr w:type="gramStart"/>
      <w:r>
        <w:rPr>
          <w:rFonts w:ascii="Arial" w:hAnsi="Arial" w:cs="Arial"/>
          <w:sz w:val="20"/>
          <w:szCs w:val="20"/>
        </w:rPr>
        <w:t>3.</w:t>
      </w:r>
      <w:proofErr w:type="gramEnd"/>
      <w:r>
        <w:rPr>
          <w:rFonts w:ascii="Arial" w:hAnsi="Arial" w:cs="Arial"/>
          <w:sz w:val="20"/>
          <w:szCs w:val="20"/>
        </w:rPr>
        <w:t>ed. Rio de Janeiro: Forense, 1998, p. 10.</w:t>
      </w:r>
    </w:p>
  </w:footnote>
  <w:footnote w:id="41">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sidRPr="00383F68">
        <w:rPr>
          <w:rFonts w:ascii="Arial" w:hAnsi="Arial" w:cs="Arial"/>
        </w:rPr>
        <w:t xml:space="preserve"> HACHEM, Daniel </w:t>
      </w:r>
      <w:proofErr w:type="spellStart"/>
      <w:r w:rsidRPr="00383F68">
        <w:rPr>
          <w:rFonts w:ascii="Arial" w:hAnsi="Arial" w:cs="Arial"/>
        </w:rPr>
        <w:t>Wunder</w:t>
      </w:r>
      <w:proofErr w:type="spellEnd"/>
      <w:r w:rsidRPr="00383F68">
        <w:rPr>
          <w:rFonts w:ascii="Arial" w:hAnsi="Arial" w:cs="Arial"/>
        </w:rPr>
        <w:t xml:space="preserve">. </w:t>
      </w:r>
      <w:r>
        <w:rPr>
          <w:rFonts w:ascii="Arial" w:hAnsi="Arial" w:cs="Arial"/>
          <w:b/>
        </w:rPr>
        <w:t>Princípio constitucional da supremacia do interesse público</w:t>
      </w:r>
      <w:r>
        <w:rPr>
          <w:rFonts w:ascii="Arial" w:hAnsi="Arial" w:cs="Arial"/>
        </w:rPr>
        <w:t xml:space="preserve">. Belo Horizonte: Fórum, 2011, p. 27-8. </w:t>
      </w:r>
    </w:p>
  </w:footnote>
  <w:footnote w:id="42">
    <w:p w:rsidR="00383F68" w:rsidRDefault="00383F68" w:rsidP="00383F68">
      <w:pPr>
        <w:spacing w:after="80"/>
        <w:jc w:val="both"/>
        <w:rPr>
          <w:rFonts w:ascii="Arial" w:hAnsi="Arial" w:cs="Arial"/>
          <w:bCs/>
          <w:sz w:val="20"/>
          <w:szCs w:val="20"/>
        </w:rPr>
      </w:pPr>
      <w:r>
        <w:rPr>
          <w:rStyle w:val="Refdenotaderodap"/>
          <w:rFonts w:ascii="Arial" w:hAnsi="Arial" w:cs="Arial"/>
          <w:sz w:val="20"/>
          <w:szCs w:val="20"/>
        </w:rPr>
        <w:footnoteRef/>
      </w:r>
      <w:r>
        <w:rPr>
          <w:rFonts w:ascii="Arial" w:hAnsi="Arial" w:cs="Arial"/>
          <w:sz w:val="20"/>
          <w:szCs w:val="20"/>
        </w:rPr>
        <w:t xml:space="preserve"> FREITAS, Juarez. </w:t>
      </w:r>
      <w:r>
        <w:rPr>
          <w:rFonts w:ascii="Arial" w:hAnsi="Arial" w:cs="Arial"/>
          <w:b/>
          <w:sz w:val="20"/>
          <w:szCs w:val="20"/>
        </w:rPr>
        <w:t>Sustentabilidade: Direito ao Futuro</w:t>
      </w:r>
      <w:r>
        <w:rPr>
          <w:rFonts w:ascii="Arial" w:hAnsi="Arial" w:cs="Arial"/>
          <w:sz w:val="20"/>
          <w:szCs w:val="20"/>
        </w:rPr>
        <w:t>. Belo Horizonte: Fórum, 2011, p. 41.</w:t>
      </w:r>
    </w:p>
  </w:footnote>
  <w:footnote w:id="43">
    <w:p w:rsidR="00383F68" w:rsidRDefault="00383F68" w:rsidP="00383F68">
      <w:pPr>
        <w:pStyle w:val="Textodenotaderodap"/>
        <w:spacing w:after="80"/>
        <w:jc w:val="both"/>
      </w:pPr>
      <w:r>
        <w:rPr>
          <w:rStyle w:val="Refdenotaderodap"/>
          <w:rFonts w:ascii="Arial" w:hAnsi="Arial" w:cs="Arial"/>
        </w:rPr>
        <w:footnoteRef/>
      </w:r>
      <w:r>
        <w:rPr>
          <w:rFonts w:ascii="Arial" w:hAnsi="Arial" w:cs="Arial"/>
        </w:rPr>
        <w:t xml:space="preserve"> Ibidem, p. 56.</w:t>
      </w:r>
    </w:p>
  </w:footnote>
  <w:footnote w:id="44">
    <w:p w:rsidR="00383F68" w:rsidRDefault="00383F68" w:rsidP="00383F68">
      <w:pPr>
        <w:pStyle w:val="Textodenotaderodap"/>
        <w:spacing w:after="80"/>
        <w:jc w:val="both"/>
        <w:rPr>
          <w:rFonts w:ascii="Arial" w:hAnsi="Arial" w:cs="Arial"/>
        </w:rPr>
      </w:pPr>
      <w:r>
        <w:rPr>
          <w:rStyle w:val="Refdenotaderodap"/>
          <w:rFonts w:ascii="Arial" w:hAnsi="Arial" w:cs="Arial"/>
        </w:rPr>
        <w:footnoteRef/>
      </w:r>
      <w:r>
        <w:rPr>
          <w:rFonts w:ascii="Arial" w:hAnsi="Arial" w:cs="Arial"/>
        </w:rPr>
        <w:t xml:space="preserve"> Conceito extraído do Estatuto dos Militares (Lei 6880/80): </w:t>
      </w:r>
    </w:p>
    <w:p w:rsidR="00383F68" w:rsidRDefault="00383F68" w:rsidP="00383F68">
      <w:pPr>
        <w:pStyle w:val="Textodenotaderodap"/>
        <w:jc w:val="both"/>
        <w:rPr>
          <w:rFonts w:ascii="Arial" w:hAnsi="Arial" w:cs="Arial"/>
          <w:i/>
        </w:rPr>
      </w:pPr>
      <w:r>
        <w:rPr>
          <w:rFonts w:ascii="Arial" w:hAnsi="Arial" w:cs="Arial"/>
          <w:i/>
        </w:rPr>
        <w:t xml:space="preserve">Art. 14. A hierarquia e a disciplina são a base institucional das Forças Armadas. A autoridade e a responsabilidade crescem com o grau hierárquico. </w:t>
      </w:r>
    </w:p>
    <w:p w:rsidR="00383F68" w:rsidRDefault="00383F68" w:rsidP="00383F68">
      <w:pPr>
        <w:pStyle w:val="Textodenotaderodap"/>
        <w:jc w:val="both"/>
        <w:rPr>
          <w:rFonts w:ascii="Arial" w:hAnsi="Arial" w:cs="Arial"/>
          <w:i/>
        </w:rPr>
      </w:pPr>
      <w:r>
        <w:rPr>
          <w:rFonts w:ascii="Arial" w:hAnsi="Arial" w:cs="Arial"/>
          <w:i/>
        </w:rPr>
        <w:t xml:space="preserve">§ 1º A hierarquia militar é a ordenação da autoridade, em níveis diferentes, dentro da estrutura das Forças Armadas. A ordenação se faz por postos ou graduações; dentro de um mesmo posto ou graduação se faz pela antiguidade no posto ou na graduação. O respeito à hierarquia é consubstanciado no espírito de acatamento à </w:t>
      </w:r>
      <w:proofErr w:type="spellStart"/>
      <w:r>
        <w:rPr>
          <w:rFonts w:ascii="Arial" w:hAnsi="Arial" w:cs="Arial"/>
          <w:i/>
        </w:rPr>
        <w:t>seqüência</w:t>
      </w:r>
      <w:proofErr w:type="spellEnd"/>
      <w:r>
        <w:rPr>
          <w:rFonts w:ascii="Arial" w:hAnsi="Arial" w:cs="Arial"/>
          <w:i/>
        </w:rPr>
        <w:t xml:space="preserve"> de autoridade. </w:t>
      </w:r>
    </w:p>
    <w:p w:rsidR="00383F68" w:rsidRDefault="00383F68" w:rsidP="00383F68">
      <w:pPr>
        <w:pStyle w:val="Textodenotaderodap"/>
        <w:spacing w:after="80"/>
        <w:jc w:val="both"/>
        <w:rPr>
          <w:rFonts w:ascii="Arial" w:hAnsi="Arial" w:cs="Arial"/>
          <w:i/>
        </w:rPr>
      </w:pPr>
      <w:r>
        <w:rPr>
          <w:rFonts w:ascii="Arial" w:hAnsi="Arial" w:cs="Arial"/>
          <w:i/>
        </w:rPr>
        <w:t xml:space="preserve">§ 2º Disciplina é a rigorosa observância e o acatamento integral das leis, regulamentos, normas e disposições que fundamentam o organismo militar e coordenam seu funcionamento regular e harmônico, traduzindo-se pelo perfeito cumprimento do dever por parte de todos e de cada um dos componentes desse organismo. </w:t>
      </w:r>
    </w:p>
  </w:footnote>
  <w:footnote w:id="45">
    <w:p w:rsidR="00383F68" w:rsidRDefault="00383F68" w:rsidP="00383F68">
      <w:pPr>
        <w:autoSpaceDE w:val="0"/>
        <w:autoSpaceDN w:val="0"/>
        <w:adjustRightInd w:val="0"/>
        <w:spacing w:after="80"/>
        <w:jc w:val="both"/>
        <w:rPr>
          <w:rFonts w:ascii="Arial" w:hAnsi="Arial" w:cs="Arial"/>
        </w:rPr>
      </w:pPr>
      <w:r>
        <w:rPr>
          <w:rStyle w:val="Refdenotaderodap"/>
          <w:rFonts w:ascii="Arial" w:hAnsi="Arial" w:cs="Arial"/>
          <w:sz w:val="20"/>
          <w:szCs w:val="20"/>
        </w:rPr>
        <w:footnoteRef/>
      </w:r>
      <w:r>
        <w:rPr>
          <w:rFonts w:ascii="Arial" w:hAnsi="Arial" w:cs="Arial"/>
          <w:sz w:val="20"/>
          <w:szCs w:val="20"/>
        </w:rPr>
        <w:t xml:space="preserve"> </w:t>
      </w:r>
      <w:proofErr w:type="gramStart"/>
      <w:r>
        <w:rPr>
          <w:rFonts w:ascii="Arial" w:hAnsi="Arial" w:cs="Arial"/>
          <w:sz w:val="20"/>
          <w:szCs w:val="20"/>
        </w:rPr>
        <w:t>MUNIS,</w:t>
      </w:r>
      <w:proofErr w:type="gramEnd"/>
      <w:r>
        <w:rPr>
          <w:rFonts w:ascii="Arial" w:hAnsi="Arial" w:cs="Arial"/>
          <w:sz w:val="20"/>
          <w:szCs w:val="20"/>
        </w:rPr>
        <w:t xml:space="preserve"> Jaqueline. A crise de identidade das polícias militares brasileiras: dilemas e paradoxos da formação educacional. </w:t>
      </w:r>
      <w:r>
        <w:rPr>
          <w:rFonts w:ascii="Arial" w:hAnsi="Arial" w:cs="Arial"/>
          <w:b/>
          <w:iCs/>
          <w:sz w:val="20"/>
          <w:szCs w:val="20"/>
        </w:rPr>
        <w:t xml:space="preserve">Security </w:t>
      </w:r>
      <w:proofErr w:type="spellStart"/>
      <w:r>
        <w:rPr>
          <w:rFonts w:ascii="Arial" w:hAnsi="Arial" w:cs="Arial"/>
          <w:b/>
          <w:iCs/>
          <w:sz w:val="20"/>
          <w:szCs w:val="20"/>
        </w:rPr>
        <w:t>and</w:t>
      </w:r>
      <w:proofErr w:type="spellEnd"/>
      <w:r>
        <w:rPr>
          <w:rFonts w:ascii="Arial" w:hAnsi="Arial" w:cs="Arial"/>
          <w:b/>
          <w:iCs/>
          <w:sz w:val="20"/>
          <w:szCs w:val="20"/>
        </w:rPr>
        <w:t xml:space="preserve"> </w:t>
      </w:r>
      <w:proofErr w:type="spellStart"/>
      <w:r>
        <w:rPr>
          <w:rFonts w:ascii="Arial" w:hAnsi="Arial" w:cs="Arial"/>
          <w:b/>
          <w:iCs/>
          <w:sz w:val="20"/>
          <w:szCs w:val="20"/>
        </w:rPr>
        <w:t>defense</w:t>
      </w:r>
      <w:proofErr w:type="spellEnd"/>
      <w:r>
        <w:rPr>
          <w:rFonts w:ascii="Arial" w:hAnsi="Arial" w:cs="Arial"/>
          <w:b/>
          <w:iCs/>
          <w:sz w:val="20"/>
          <w:szCs w:val="20"/>
        </w:rPr>
        <w:t xml:space="preserve"> </w:t>
      </w:r>
      <w:proofErr w:type="spellStart"/>
      <w:r>
        <w:rPr>
          <w:rFonts w:ascii="Arial" w:hAnsi="Arial" w:cs="Arial"/>
          <w:b/>
          <w:iCs/>
          <w:sz w:val="20"/>
          <w:szCs w:val="20"/>
        </w:rPr>
        <w:t>studies</w:t>
      </w:r>
      <w:proofErr w:type="spellEnd"/>
      <w:r>
        <w:rPr>
          <w:rFonts w:ascii="Arial" w:hAnsi="Arial" w:cs="Arial"/>
          <w:b/>
          <w:iCs/>
          <w:sz w:val="20"/>
          <w:szCs w:val="20"/>
        </w:rPr>
        <w:t xml:space="preserve"> </w:t>
      </w:r>
      <w:proofErr w:type="spellStart"/>
      <w:r>
        <w:rPr>
          <w:rFonts w:ascii="Arial" w:hAnsi="Arial" w:cs="Arial"/>
          <w:b/>
          <w:iCs/>
          <w:sz w:val="20"/>
          <w:szCs w:val="20"/>
        </w:rPr>
        <w:t>review</w:t>
      </w:r>
      <w:proofErr w:type="spellEnd"/>
      <w:r>
        <w:rPr>
          <w:rFonts w:ascii="Arial" w:hAnsi="Arial" w:cs="Arial"/>
          <w:sz w:val="20"/>
          <w:szCs w:val="20"/>
        </w:rPr>
        <w:t>, v. 1, inverno de 2001.</w:t>
      </w:r>
    </w:p>
  </w:footnote>
  <w:footnote w:id="46">
    <w:p w:rsidR="00521017" w:rsidRPr="00CF7843" w:rsidRDefault="00521017" w:rsidP="00521017">
      <w:pPr>
        <w:pStyle w:val="Textodenotaderodap"/>
        <w:spacing w:after="80"/>
        <w:jc w:val="both"/>
      </w:pPr>
      <w:r w:rsidRPr="002B1B1D">
        <w:rPr>
          <w:rStyle w:val="Refdenotaderodap"/>
          <w:rFonts w:ascii="Arial" w:hAnsi="Arial" w:cs="Arial"/>
        </w:rPr>
        <w:footnoteRef/>
      </w:r>
      <w:r w:rsidRPr="002B1B1D">
        <w:rPr>
          <w:rFonts w:ascii="Arial" w:hAnsi="Arial" w:cs="Arial"/>
        </w:rPr>
        <w:t xml:space="preserve"> </w:t>
      </w:r>
      <w:r w:rsidRPr="005738A1">
        <w:rPr>
          <w:rFonts w:ascii="Arial" w:hAnsi="Arial" w:cs="Arial"/>
        </w:rPr>
        <w:t xml:space="preserve">POULANTZAS, </w:t>
      </w:r>
      <w:proofErr w:type="spellStart"/>
      <w:r w:rsidRPr="005738A1">
        <w:rPr>
          <w:rFonts w:ascii="Arial" w:hAnsi="Arial" w:cs="Arial"/>
        </w:rPr>
        <w:t>Nikos</w:t>
      </w:r>
      <w:proofErr w:type="spellEnd"/>
      <w:r w:rsidRPr="005738A1">
        <w:rPr>
          <w:rFonts w:ascii="Arial" w:hAnsi="Arial" w:cs="Arial"/>
        </w:rPr>
        <w:t>.</w:t>
      </w:r>
      <w:r>
        <w:rPr>
          <w:rFonts w:ascii="Arial" w:hAnsi="Arial" w:cs="Arial"/>
        </w:rPr>
        <w:t xml:space="preserve"> </w:t>
      </w:r>
      <w:r w:rsidRPr="005738A1">
        <w:rPr>
          <w:rFonts w:ascii="Arial" w:hAnsi="Arial" w:cs="Arial"/>
          <w:b/>
          <w:bCs/>
        </w:rPr>
        <w:t xml:space="preserve">O </w:t>
      </w:r>
      <w:proofErr w:type="gramStart"/>
      <w:r w:rsidRPr="005738A1">
        <w:rPr>
          <w:rFonts w:ascii="Arial" w:hAnsi="Arial" w:cs="Arial"/>
          <w:b/>
          <w:bCs/>
        </w:rPr>
        <w:t>Estado</w:t>
      </w:r>
      <w:r>
        <w:rPr>
          <w:rFonts w:ascii="Arial" w:hAnsi="Arial" w:cs="Arial"/>
          <w:b/>
          <w:bCs/>
        </w:rPr>
        <w:t xml:space="preserve"> ...</w:t>
      </w:r>
      <w:proofErr w:type="gramEnd"/>
      <w:r>
        <w:rPr>
          <w:rFonts w:ascii="Arial" w:hAnsi="Arial" w:cs="Arial"/>
          <w:b/>
          <w:bCs/>
        </w:rPr>
        <w:t xml:space="preserve"> </w:t>
      </w:r>
      <w:r w:rsidRPr="00CF7843">
        <w:rPr>
          <w:rFonts w:ascii="Arial" w:hAnsi="Arial" w:cs="Arial"/>
          <w:bCs/>
        </w:rPr>
        <w:t>Op. cit., p. 156.</w:t>
      </w:r>
    </w:p>
  </w:footnote>
  <w:footnote w:id="47">
    <w:p w:rsidR="00521017" w:rsidRDefault="00521017" w:rsidP="00521017">
      <w:pPr>
        <w:pStyle w:val="Textodenotaderodap"/>
        <w:spacing w:after="80"/>
        <w:jc w:val="both"/>
      </w:pPr>
      <w:r w:rsidRPr="00A866F8">
        <w:rPr>
          <w:rStyle w:val="Refdenotaderodap"/>
          <w:rFonts w:ascii="Arial" w:hAnsi="Arial" w:cs="Arial"/>
        </w:rPr>
        <w:footnoteRef/>
      </w:r>
      <w:r w:rsidRPr="00CB1159">
        <w:rPr>
          <w:rFonts w:ascii="Arial" w:hAnsi="Arial" w:cs="Arial"/>
        </w:rPr>
        <w:t xml:space="preserve"> DURÃO, Susana. </w:t>
      </w:r>
      <w:r>
        <w:rPr>
          <w:rFonts w:ascii="Arial" w:hAnsi="Arial" w:cs="Arial"/>
        </w:rPr>
        <w:t>Engenharias do policiamento em Portugal: no campo com as policias de segurança pública</w:t>
      </w:r>
      <w:r w:rsidRPr="00DD0C97">
        <w:rPr>
          <w:rFonts w:ascii="Arial" w:hAnsi="Arial" w:cs="Arial"/>
        </w:rPr>
        <w:t xml:space="preserve">. In: LIMA, Roberto Kant; EILBAN, Lúcia; PIRES, Lenin (org.). </w:t>
      </w:r>
      <w:r w:rsidRPr="002B1B1D">
        <w:rPr>
          <w:rFonts w:ascii="Arial" w:hAnsi="Arial" w:cs="Arial"/>
          <w:b/>
        </w:rPr>
        <w:t>Conflitos, direitos e moralidade em perspectiva comparada</w:t>
      </w:r>
      <w:r w:rsidRPr="00DD0C97">
        <w:rPr>
          <w:rFonts w:ascii="Arial" w:hAnsi="Arial" w:cs="Arial"/>
        </w:rPr>
        <w:t xml:space="preserve">. </w:t>
      </w:r>
      <w:proofErr w:type="gramStart"/>
      <w:r w:rsidRPr="00DD0C97">
        <w:rPr>
          <w:rFonts w:ascii="Arial" w:hAnsi="Arial" w:cs="Arial"/>
        </w:rPr>
        <w:t>v.</w:t>
      </w:r>
      <w:proofErr w:type="gramEnd"/>
      <w:r w:rsidRPr="00DD0C97">
        <w:rPr>
          <w:rFonts w:ascii="Arial" w:hAnsi="Arial" w:cs="Arial"/>
        </w:rPr>
        <w:t xml:space="preserve"> 1. Rio de Janeiro: </w:t>
      </w:r>
      <w:proofErr w:type="spellStart"/>
      <w:r w:rsidRPr="00DD0C97">
        <w:rPr>
          <w:rFonts w:ascii="Arial" w:hAnsi="Arial" w:cs="Arial"/>
        </w:rPr>
        <w:t>Garamond</w:t>
      </w:r>
      <w:proofErr w:type="spellEnd"/>
      <w:r w:rsidRPr="00DD0C97">
        <w:rPr>
          <w:rFonts w:ascii="Arial" w:hAnsi="Arial" w:cs="Arial"/>
        </w:rPr>
        <w:t>, 2010, p.</w:t>
      </w:r>
      <w:r>
        <w:rPr>
          <w:rFonts w:ascii="Arial" w:hAnsi="Arial" w:cs="Arial"/>
        </w:rPr>
        <w:t>157</w:t>
      </w:r>
      <w:r w:rsidRPr="00DD0C97">
        <w:rPr>
          <w:rFonts w:ascii="Arial" w:hAnsi="Arial" w:cs="Arial"/>
        </w:rPr>
        <w:t>.</w:t>
      </w:r>
    </w:p>
  </w:footnote>
  <w:footnote w:id="48">
    <w:p w:rsidR="00521017" w:rsidRPr="00A14BCF" w:rsidRDefault="00521017" w:rsidP="00521017">
      <w:pPr>
        <w:pStyle w:val="Textodenotaderodap"/>
        <w:spacing w:after="80"/>
        <w:rPr>
          <w:rFonts w:ascii="Arial" w:hAnsi="Arial" w:cs="Arial"/>
        </w:rPr>
      </w:pPr>
      <w:r w:rsidRPr="00A14BCF">
        <w:rPr>
          <w:rStyle w:val="Refdenotaderodap"/>
          <w:rFonts w:ascii="Arial" w:hAnsi="Arial" w:cs="Arial"/>
        </w:rPr>
        <w:footnoteRef/>
      </w:r>
      <w:r w:rsidRPr="00A14BCF">
        <w:rPr>
          <w:rFonts w:ascii="Arial" w:hAnsi="Arial" w:cs="Arial"/>
        </w:rPr>
        <w:t xml:space="preserve"> Idem, p. 12.</w:t>
      </w:r>
    </w:p>
  </w:footnote>
  <w:footnote w:id="49">
    <w:p w:rsidR="00521017" w:rsidRDefault="00521017" w:rsidP="00521017">
      <w:pPr>
        <w:pStyle w:val="Textodenotaderodap"/>
        <w:jc w:val="both"/>
      </w:pPr>
      <w:r w:rsidRPr="00A14BCF">
        <w:rPr>
          <w:rStyle w:val="Refdenotaderodap"/>
          <w:rFonts w:ascii="Arial" w:hAnsi="Arial" w:cs="Arial"/>
        </w:rPr>
        <w:footnoteRef/>
      </w:r>
      <w:r w:rsidRPr="00A14BCF">
        <w:rPr>
          <w:rFonts w:ascii="Arial" w:hAnsi="Arial" w:cs="Arial"/>
        </w:rPr>
        <w:t xml:space="preserve"> ROCHA, </w:t>
      </w:r>
      <w:proofErr w:type="spellStart"/>
      <w:r w:rsidRPr="00A14BCF">
        <w:rPr>
          <w:rFonts w:ascii="Arial" w:hAnsi="Arial" w:cs="Arial"/>
        </w:rPr>
        <w:t>Cármen</w:t>
      </w:r>
      <w:proofErr w:type="spellEnd"/>
      <w:r w:rsidRPr="00A14BCF">
        <w:rPr>
          <w:rFonts w:ascii="Arial" w:hAnsi="Arial" w:cs="Arial"/>
        </w:rPr>
        <w:t xml:space="preserve"> Lúcia Antunes. </w:t>
      </w:r>
      <w:r w:rsidRPr="00A14BCF">
        <w:rPr>
          <w:rFonts w:ascii="Arial" w:hAnsi="Arial" w:cs="Arial"/>
          <w:b/>
        </w:rPr>
        <w:t>Princípios Constitucionais dos Servidores Públicos.</w:t>
      </w:r>
      <w:r w:rsidRPr="00A14BCF">
        <w:rPr>
          <w:rFonts w:ascii="Arial" w:hAnsi="Arial" w:cs="Arial"/>
        </w:rPr>
        <w:t xml:space="preserve"> São Paulo: </w:t>
      </w:r>
      <w:proofErr w:type="gramStart"/>
      <w:r w:rsidRPr="00A14BCF">
        <w:rPr>
          <w:rFonts w:ascii="Arial" w:hAnsi="Arial" w:cs="Arial"/>
        </w:rPr>
        <w:t>Saraiva,</w:t>
      </w:r>
      <w:proofErr w:type="gramEnd"/>
      <w:r w:rsidRPr="00A14BCF">
        <w:rPr>
          <w:rFonts w:ascii="Arial" w:hAnsi="Arial" w:cs="Arial"/>
        </w:rPr>
        <w:t xml:space="preserve"> 1999, p. 82.</w:t>
      </w:r>
    </w:p>
  </w:footnote>
  <w:footnote w:id="50">
    <w:p w:rsidR="003839D0" w:rsidRDefault="003839D0" w:rsidP="003839D0">
      <w:pPr>
        <w:pStyle w:val="Textodenotaderodap"/>
        <w:spacing w:after="80"/>
        <w:jc w:val="both"/>
      </w:pPr>
      <w:r w:rsidRPr="00AB6DB5">
        <w:rPr>
          <w:rFonts w:ascii="Arial" w:hAnsi="Arial" w:cs="Arial"/>
          <w:vertAlign w:val="superscript"/>
        </w:rPr>
        <w:footnoteRef/>
      </w:r>
      <w:r w:rsidRPr="00AB6DB5">
        <w:rPr>
          <w:rFonts w:ascii="Arial" w:hAnsi="Arial" w:cs="Arial"/>
        </w:rPr>
        <w:t xml:space="preserve"> COSTA, Arthur; MEDEIROS, Mateus. A desmilitarização</w:t>
      </w:r>
      <w:r>
        <w:rPr>
          <w:rFonts w:ascii="Arial" w:hAnsi="Arial" w:cs="Arial"/>
        </w:rPr>
        <w:t xml:space="preserve"> </w:t>
      </w:r>
      <w:r w:rsidRPr="00AB6DB5">
        <w:rPr>
          <w:rFonts w:ascii="Arial" w:hAnsi="Arial" w:cs="Arial"/>
        </w:rPr>
        <w:t>das polícias: policiais, soldados e democracia.</w:t>
      </w:r>
      <w:r>
        <w:rPr>
          <w:rFonts w:ascii="Arial" w:hAnsi="Arial" w:cs="Arial"/>
        </w:rPr>
        <w:t xml:space="preserve"> </w:t>
      </w:r>
      <w:r w:rsidRPr="00AB6DB5">
        <w:rPr>
          <w:rFonts w:ascii="Arial" w:hAnsi="Arial" w:cs="Arial"/>
          <w:b/>
        </w:rPr>
        <w:t>Teoria e Sociedade</w:t>
      </w:r>
      <w:r w:rsidRPr="00AB6DB5">
        <w:rPr>
          <w:rFonts w:ascii="Arial" w:hAnsi="Arial" w:cs="Arial"/>
        </w:rPr>
        <w:t>, Belo Horizonte, v. 1, n. 11,</w:t>
      </w:r>
      <w:r>
        <w:rPr>
          <w:rFonts w:ascii="Arial" w:hAnsi="Arial" w:cs="Arial"/>
        </w:rPr>
        <w:t xml:space="preserve"> </w:t>
      </w:r>
      <w:r w:rsidRPr="00AB6DB5">
        <w:rPr>
          <w:rFonts w:ascii="Arial" w:hAnsi="Arial" w:cs="Arial"/>
        </w:rPr>
        <w:t>p. 66-89, 2003.</w:t>
      </w:r>
    </w:p>
  </w:footnote>
  <w:footnote w:id="51">
    <w:p w:rsidR="003839D0" w:rsidRPr="0054050B" w:rsidRDefault="003839D0" w:rsidP="003839D0">
      <w:pPr>
        <w:pStyle w:val="Textodenotaderodap"/>
        <w:spacing w:after="80"/>
        <w:jc w:val="both"/>
        <w:rPr>
          <w:rFonts w:ascii="Arial" w:hAnsi="Arial" w:cs="Arial"/>
        </w:rPr>
      </w:pPr>
      <w:r w:rsidRPr="00313430">
        <w:rPr>
          <w:rStyle w:val="Refdenotaderodap"/>
          <w:rFonts w:ascii="Arial" w:hAnsi="Arial" w:cs="Arial"/>
        </w:rPr>
        <w:footnoteRef/>
      </w:r>
      <w:r w:rsidRPr="00313430">
        <w:rPr>
          <w:rFonts w:ascii="Arial" w:hAnsi="Arial" w:cs="Arial"/>
        </w:rPr>
        <w:t xml:space="preserve"> MORAES, Pedro Rodolfo </w:t>
      </w:r>
      <w:proofErr w:type="spellStart"/>
      <w:r w:rsidRPr="00313430">
        <w:rPr>
          <w:rFonts w:ascii="Arial" w:hAnsi="Arial" w:cs="Arial"/>
        </w:rPr>
        <w:t>Bodê</w:t>
      </w:r>
      <w:proofErr w:type="spellEnd"/>
      <w:r w:rsidRPr="00313430">
        <w:rPr>
          <w:rFonts w:ascii="Arial" w:hAnsi="Arial" w:cs="Arial"/>
        </w:rPr>
        <w:t xml:space="preserve"> de. </w:t>
      </w:r>
      <w:r w:rsidRPr="00313430">
        <w:rPr>
          <w:rFonts w:ascii="Arial" w:hAnsi="Arial" w:cs="Arial"/>
          <w:b/>
        </w:rPr>
        <w:t>Em defesa</w:t>
      </w:r>
      <w:r>
        <w:rPr>
          <w:rFonts w:ascii="Arial" w:hAnsi="Arial" w:cs="Arial"/>
          <w:b/>
        </w:rPr>
        <w:t xml:space="preserve">... </w:t>
      </w:r>
      <w:r>
        <w:rPr>
          <w:rFonts w:ascii="Arial" w:hAnsi="Arial" w:cs="Arial"/>
        </w:rPr>
        <w:t>Op. cit.</w:t>
      </w:r>
    </w:p>
  </w:footnote>
  <w:footnote w:id="52">
    <w:p w:rsidR="003839D0" w:rsidRPr="003839D0" w:rsidRDefault="003839D0" w:rsidP="003839D0">
      <w:pPr>
        <w:pStyle w:val="Textodenotaderodap"/>
        <w:spacing w:after="80"/>
        <w:jc w:val="both"/>
      </w:pPr>
      <w:r w:rsidRPr="00A3322D">
        <w:rPr>
          <w:rStyle w:val="Refdenotaderodap"/>
          <w:rFonts w:ascii="Arial" w:hAnsi="Arial" w:cs="Arial"/>
        </w:rPr>
        <w:footnoteRef/>
      </w:r>
      <w:r w:rsidRPr="00A3322D">
        <w:rPr>
          <w:rFonts w:ascii="Arial" w:hAnsi="Arial" w:cs="Arial"/>
        </w:rPr>
        <w:t xml:space="preserve"> </w:t>
      </w:r>
      <w:r>
        <w:rPr>
          <w:rFonts w:ascii="Arial" w:hAnsi="Arial" w:cs="Arial"/>
        </w:rPr>
        <w:t xml:space="preserve">MORAES, Pedro Rodolfo </w:t>
      </w:r>
      <w:proofErr w:type="spellStart"/>
      <w:r>
        <w:rPr>
          <w:rFonts w:ascii="Arial" w:hAnsi="Arial" w:cs="Arial"/>
        </w:rPr>
        <w:t>Bodê</w:t>
      </w:r>
      <w:proofErr w:type="spellEnd"/>
      <w:r>
        <w:rPr>
          <w:rFonts w:ascii="Arial" w:hAnsi="Arial" w:cs="Arial"/>
        </w:rPr>
        <w:t xml:space="preserve"> de; KULAITIS, </w:t>
      </w:r>
      <w:r w:rsidRPr="00D4191C">
        <w:rPr>
          <w:rFonts w:ascii="Arial" w:hAnsi="Arial" w:cs="Arial"/>
        </w:rPr>
        <w:t>Letí</w:t>
      </w:r>
      <w:r>
        <w:rPr>
          <w:rFonts w:ascii="Arial" w:hAnsi="Arial" w:cs="Arial"/>
        </w:rPr>
        <w:t>cia Figueira Moutinho.</w:t>
      </w:r>
      <w:r w:rsidRPr="00D4191C">
        <w:rPr>
          <w:rFonts w:ascii="Arial" w:hAnsi="Arial" w:cs="Arial"/>
        </w:rPr>
        <w:t xml:space="preserve"> </w:t>
      </w:r>
      <w:r w:rsidRPr="003839D0">
        <w:rPr>
          <w:rFonts w:ascii="Arial" w:hAnsi="Arial" w:cs="Arial"/>
          <w:b/>
        </w:rPr>
        <w:t xml:space="preserve">Controle ... </w:t>
      </w:r>
      <w:r w:rsidRPr="003839D0">
        <w:rPr>
          <w:rFonts w:ascii="Arial" w:hAnsi="Arial" w:cs="Arial"/>
        </w:rPr>
        <w:t>Op. cit.</w:t>
      </w:r>
    </w:p>
  </w:footnote>
  <w:footnote w:id="53">
    <w:p w:rsidR="003839D0" w:rsidRDefault="003839D0" w:rsidP="003839D0">
      <w:pPr>
        <w:pStyle w:val="Textodenotaderodap"/>
        <w:spacing w:after="80"/>
        <w:jc w:val="both"/>
      </w:pPr>
      <w:r w:rsidRPr="005D5D9D">
        <w:rPr>
          <w:rFonts w:ascii="Arial" w:hAnsi="Arial" w:cs="Arial"/>
          <w:vertAlign w:val="superscript"/>
        </w:rPr>
        <w:footnoteRef/>
      </w:r>
      <w:r w:rsidRPr="005D5D9D">
        <w:rPr>
          <w:rFonts w:ascii="Arial" w:hAnsi="Arial" w:cs="Arial"/>
          <w:vertAlign w:val="superscript"/>
        </w:rPr>
        <w:t xml:space="preserve"> </w:t>
      </w:r>
      <w:r w:rsidRPr="005D5D9D">
        <w:rPr>
          <w:rFonts w:ascii="Arial" w:hAnsi="Arial" w:cs="Arial"/>
        </w:rPr>
        <w:t xml:space="preserve">AMARAL, Luiz Otávio de Oliveira. </w:t>
      </w:r>
      <w:r w:rsidRPr="005D5D9D">
        <w:rPr>
          <w:rFonts w:ascii="Arial" w:hAnsi="Arial" w:cs="Arial"/>
          <w:b/>
        </w:rPr>
        <w:t>Direito e segurança pública, a juridicidade operacional da polícia:</w:t>
      </w:r>
      <w:r>
        <w:rPr>
          <w:rFonts w:ascii="Arial" w:hAnsi="Arial" w:cs="Arial"/>
        </w:rPr>
        <w:t xml:space="preserve"> </w:t>
      </w:r>
      <w:r w:rsidRPr="005D5D9D">
        <w:rPr>
          <w:rFonts w:ascii="Arial" w:hAnsi="Arial" w:cs="Arial"/>
        </w:rPr>
        <w:t>O manual do policial moderno</w:t>
      </w:r>
      <w:r>
        <w:rPr>
          <w:rFonts w:ascii="Arial" w:hAnsi="Arial" w:cs="Arial"/>
        </w:rPr>
        <w:t xml:space="preserve">. Brasília: </w:t>
      </w:r>
      <w:proofErr w:type="spellStart"/>
      <w:r>
        <w:rPr>
          <w:rFonts w:ascii="Arial" w:hAnsi="Arial" w:cs="Arial"/>
        </w:rPr>
        <w:t>Consulex</w:t>
      </w:r>
      <w:proofErr w:type="spellEnd"/>
      <w:r>
        <w:rPr>
          <w:rFonts w:ascii="Arial" w:hAnsi="Arial" w:cs="Arial"/>
        </w:rPr>
        <w:t>, 2003, p. 48.</w:t>
      </w:r>
    </w:p>
  </w:footnote>
  <w:footnote w:id="54">
    <w:p w:rsidR="003839D0" w:rsidRDefault="003839D0" w:rsidP="003839D0">
      <w:pPr>
        <w:pStyle w:val="Textodenotaderodap"/>
        <w:spacing w:after="80"/>
        <w:jc w:val="both"/>
      </w:pPr>
      <w:r w:rsidRPr="005D5D9D">
        <w:rPr>
          <w:rFonts w:ascii="Arial" w:hAnsi="Arial" w:cs="Arial"/>
          <w:vertAlign w:val="superscript"/>
        </w:rPr>
        <w:footnoteRef/>
      </w:r>
      <w:r w:rsidRPr="005D5D9D">
        <w:rPr>
          <w:rFonts w:ascii="Arial" w:hAnsi="Arial" w:cs="Arial"/>
        </w:rPr>
        <w:t xml:space="preserve"> COSTA, Arthur Trindade Maranhão. </w:t>
      </w:r>
      <w:r w:rsidRPr="005D5D9D">
        <w:rPr>
          <w:rFonts w:ascii="Arial" w:hAnsi="Arial" w:cs="Arial"/>
          <w:b/>
        </w:rPr>
        <w:t>Entre a lei e a ordem: violência e reforma nas polícias do Rio de Janeiro e Nova York.</w:t>
      </w:r>
      <w:r w:rsidRPr="005D5D9D">
        <w:rPr>
          <w:rFonts w:ascii="Arial" w:hAnsi="Arial" w:cs="Arial"/>
        </w:rPr>
        <w:t xml:space="preserve"> Rio de Janeiro: F</w:t>
      </w:r>
      <w:r>
        <w:rPr>
          <w:rFonts w:ascii="Arial" w:hAnsi="Arial" w:cs="Arial"/>
        </w:rPr>
        <w:t>GV, 2004, p. 55.</w:t>
      </w:r>
    </w:p>
  </w:footnote>
  <w:footnote w:id="55">
    <w:p w:rsidR="003839D0" w:rsidRPr="009D6D1D" w:rsidRDefault="003839D0" w:rsidP="003839D0">
      <w:pPr>
        <w:pStyle w:val="Textodenotaderodap"/>
        <w:spacing w:after="80"/>
        <w:jc w:val="both"/>
        <w:rPr>
          <w:rFonts w:ascii="Arial" w:hAnsi="Arial" w:cs="Arial"/>
        </w:rPr>
      </w:pPr>
      <w:r w:rsidRPr="009D6D1D">
        <w:rPr>
          <w:rStyle w:val="Refdenotaderodap"/>
          <w:rFonts w:ascii="Arial" w:hAnsi="Arial" w:cs="Arial"/>
        </w:rPr>
        <w:footnoteRef/>
      </w:r>
      <w:r w:rsidRPr="009D6D1D">
        <w:rPr>
          <w:rFonts w:ascii="Arial" w:hAnsi="Arial" w:cs="Arial"/>
        </w:rPr>
        <w:t xml:space="preserve"> AMARAL, Luiz Otávio de Oliveira. Op. cit., p. 47.</w:t>
      </w:r>
    </w:p>
  </w:footnote>
  <w:footnote w:id="56">
    <w:p w:rsidR="003839D0" w:rsidRDefault="003839D0" w:rsidP="003839D0">
      <w:pPr>
        <w:pStyle w:val="Textodenotaderodap"/>
        <w:spacing w:after="80"/>
        <w:jc w:val="both"/>
      </w:pPr>
      <w:r w:rsidRPr="00CF78F0">
        <w:rPr>
          <w:rStyle w:val="Refdenotaderodap"/>
          <w:rFonts w:ascii="Arial" w:hAnsi="Arial" w:cs="Arial"/>
        </w:rPr>
        <w:footnoteRef/>
      </w:r>
      <w:r w:rsidRPr="00CF78F0">
        <w:rPr>
          <w:rFonts w:ascii="Arial" w:hAnsi="Arial" w:cs="Arial"/>
        </w:rPr>
        <w:t xml:space="preserve"> HABERMAS</w:t>
      </w:r>
      <w:r>
        <w:rPr>
          <w:rFonts w:ascii="Arial" w:hAnsi="Arial" w:cs="Arial"/>
        </w:rPr>
        <w:t>,</w:t>
      </w:r>
      <w:r w:rsidRPr="00CF78F0">
        <w:rPr>
          <w:rFonts w:ascii="Arial" w:hAnsi="Arial" w:cs="Arial"/>
        </w:rPr>
        <w:t xml:space="preserve"> Jürgen</w:t>
      </w:r>
      <w:r>
        <w:rPr>
          <w:rFonts w:ascii="Arial" w:hAnsi="Arial" w:cs="Arial"/>
        </w:rPr>
        <w:t>.</w:t>
      </w:r>
      <w:r w:rsidRPr="00CF78F0">
        <w:rPr>
          <w:rFonts w:ascii="Arial" w:hAnsi="Arial" w:cs="Arial"/>
        </w:rPr>
        <w:t xml:space="preserve"> </w:t>
      </w:r>
      <w:r w:rsidRPr="004D043F">
        <w:rPr>
          <w:rFonts w:ascii="Arial" w:hAnsi="Arial" w:cs="Arial"/>
          <w:b/>
        </w:rPr>
        <w:t>Direito e Democracia</w:t>
      </w:r>
      <w:r w:rsidRPr="00CF78F0">
        <w:rPr>
          <w:rFonts w:ascii="Arial" w:hAnsi="Arial" w:cs="Arial"/>
        </w:rPr>
        <w:t>: entre facticidade e validade.</w:t>
      </w:r>
      <w:r>
        <w:rPr>
          <w:rFonts w:ascii="Arial" w:hAnsi="Arial" w:cs="Arial"/>
        </w:rPr>
        <w:t xml:space="preserve"> </w:t>
      </w:r>
      <w:proofErr w:type="gramStart"/>
      <w:r>
        <w:rPr>
          <w:rFonts w:ascii="Arial" w:hAnsi="Arial" w:cs="Arial"/>
        </w:rPr>
        <w:t>v.</w:t>
      </w:r>
      <w:proofErr w:type="gramEnd"/>
      <w:r>
        <w:rPr>
          <w:rFonts w:ascii="Arial" w:hAnsi="Arial" w:cs="Arial"/>
        </w:rPr>
        <w:t xml:space="preserve"> 2. </w:t>
      </w:r>
      <w:r w:rsidRPr="00CF78F0">
        <w:rPr>
          <w:rFonts w:ascii="Arial" w:hAnsi="Arial" w:cs="Arial"/>
        </w:rPr>
        <w:t>Tradução</w:t>
      </w:r>
      <w:r>
        <w:rPr>
          <w:rFonts w:ascii="Arial" w:hAnsi="Arial" w:cs="Arial"/>
        </w:rPr>
        <w:t xml:space="preserve"> </w:t>
      </w:r>
      <w:r w:rsidRPr="00CF78F0">
        <w:rPr>
          <w:rFonts w:ascii="Arial" w:hAnsi="Arial" w:cs="Arial"/>
        </w:rPr>
        <w:t xml:space="preserve">Flávio </w:t>
      </w:r>
      <w:proofErr w:type="spellStart"/>
      <w:r w:rsidRPr="00CF78F0">
        <w:rPr>
          <w:rFonts w:ascii="Arial" w:hAnsi="Arial" w:cs="Arial"/>
        </w:rPr>
        <w:t>Beno</w:t>
      </w:r>
      <w:proofErr w:type="spellEnd"/>
      <w:r w:rsidRPr="00CF78F0">
        <w:rPr>
          <w:rFonts w:ascii="Arial" w:hAnsi="Arial" w:cs="Arial"/>
        </w:rPr>
        <w:t xml:space="preserve"> </w:t>
      </w:r>
      <w:proofErr w:type="spellStart"/>
      <w:r w:rsidRPr="00CF78F0">
        <w:rPr>
          <w:rFonts w:ascii="Arial" w:hAnsi="Arial" w:cs="Arial"/>
        </w:rPr>
        <w:t>Siebeneichler</w:t>
      </w:r>
      <w:proofErr w:type="spellEnd"/>
      <w:r w:rsidRPr="00CF78F0">
        <w:rPr>
          <w:rFonts w:ascii="Arial" w:hAnsi="Arial" w:cs="Arial"/>
        </w:rPr>
        <w:t>. Rio de Janeiro: Tempo Brasileiro, 199</w:t>
      </w:r>
      <w:r>
        <w:rPr>
          <w:rFonts w:ascii="Arial" w:hAnsi="Arial" w:cs="Arial"/>
        </w:rPr>
        <w:t>7, p. 9.</w:t>
      </w:r>
    </w:p>
  </w:footnote>
  <w:footnote w:id="57">
    <w:p w:rsidR="003839D0" w:rsidRPr="007447D4" w:rsidRDefault="003839D0" w:rsidP="003839D0">
      <w:pPr>
        <w:pStyle w:val="Textodenotaderodap"/>
        <w:spacing w:after="80"/>
        <w:jc w:val="both"/>
        <w:rPr>
          <w:rFonts w:ascii="Arial" w:hAnsi="Arial" w:cs="Arial"/>
        </w:rPr>
      </w:pPr>
      <w:r w:rsidRPr="007447D4">
        <w:rPr>
          <w:rStyle w:val="Refdenotaderodap"/>
          <w:rFonts w:ascii="Arial" w:hAnsi="Arial" w:cs="Arial"/>
        </w:rPr>
        <w:footnoteRef/>
      </w:r>
      <w:r w:rsidRPr="007447D4">
        <w:rPr>
          <w:rFonts w:ascii="Arial" w:hAnsi="Arial" w:cs="Arial"/>
        </w:rPr>
        <w:t xml:space="preserve"> Ibidem, v. 1, p. 36.</w:t>
      </w:r>
    </w:p>
  </w:footnote>
  <w:footnote w:id="58">
    <w:p w:rsidR="003839D0" w:rsidRPr="007447D4" w:rsidRDefault="003839D0" w:rsidP="003839D0">
      <w:pPr>
        <w:pStyle w:val="Textodenotaderodap"/>
        <w:spacing w:after="80"/>
        <w:jc w:val="both"/>
        <w:rPr>
          <w:rFonts w:ascii="Arial" w:hAnsi="Arial" w:cs="Arial"/>
        </w:rPr>
      </w:pPr>
      <w:r w:rsidRPr="007447D4">
        <w:rPr>
          <w:rStyle w:val="Refdenotaderodap"/>
          <w:rFonts w:ascii="Arial" w:hAnsi="Arial" w:cs="Arial"/>
        </w:rPr>
        <w:footnoteRef/>
      </w:r>
      <w:r w:rsidRPr="007447D4">
        <w:rPr>
          <w:rFonts w:ascii="Arial" w:hAnsi="Arial" w:cs="Arial"/>
        </w:rPr>
        <w:t xml:space="preserve"> Ibidem, v. 2, p. 19.</w:t>
      </w:r>
    </w:p>
  </w:footnote>
  <w:footnote w:id="59">
    <w:p w:rsidR="003839D0" w:rsidRDefault="003839D0" w:rsidP="003839D0">
      <w:pPr>
        <w:pStyle w:val="Textodenotaderodap"/>
        <w:spacing w:after="80"/>
        <w:jc w:val="both"/>
      </w:pPr>
      <w:r w:rsidRPr="007447D4">
        <w:rPr>
          <w:rStyle w:val="Refdenotaderodap"/>
          <w:rFonts w:ascii="Arial" w:hAnsi="Arial" w:cs="Arial"/>
        </w:rPr>
        <w:footnoteRef/>
      </w:r>
      <w:r w:rsidRPr="007447D4">
        <w:rPr>
          <w:rFonts w:ascii="Arial" w:hAnsi="Arial" w:cs="Arial"/>
        </w:rPr>
        <w:t xml:space="preserve"> </w:t>
      </w:r>
      <w:proofErr w:type="gramStart"/>
      <w:r w:rsidRPr="007447D4">
        <w:rPr>
          <w:rFonts w:ascii="Arial" w:hAnsi="Arial" w:cs="Arial"/>
        </w:rPr>
        <w:t>FARIA,</w:t>
      </w:r>
      <w:proofErr w:type="gramEnd"/>
      <w:r w:rsidRPr="007447D4">
        <w:rPr>
          <w:rFonts w:ascii="Arial" w:hAnsi="Arial" w:cs="Arial"/>
        </w:rPr>
        <w:t xml:space="preserve"> Cláudia Feres. Democracia deliberativa: Habermas, Cohen e </w:t>
      </w:r>
      <w:proofErr w:type="spellStart"/>
      <w:r w:rsidRPr="007447D4">
        <w:rPr>
          <w:rFonts w:ascii="Arial" w:hAnsi="Arial" w:cs="Arial"/>
        </w:rPr>
        <w:t>Bohman</w:t>
      </w:r>
      <w:proofErr w:type="spellEnd"/>
      <w:r w:rsidRPr="007447D4">
        <w:rPr>
          <w:rFonts w:ascii="Arial" w:hAnsi="Arial" w:cs="Arial"/>
        </w:rPr>
        <w:t xml:space="preserve">. </w:t>
      </w:r>
      <w:r w:rsidRPr="007447D4">
        <w:rPr>
          <w:rFonts w:ascii="Arial" w:hAnsi="Arial" w:cs="Arial"/>
          <w:b/>
        </w:rPr>
        <w:t>Lua Nova</w:t>
      </w:r>
      <w:r w:rsidRPr="007447D4">
        <w:rPr>
          <w:rFonts w:ascii="Arial" w:hAnsi="Arial" w:cs="Arial"/>
        </w:rPr>
        <w:t>, n. 49, 2000, p. 49.</w:t>
      </w:r>
    </w:p>
  </w:footnote>
  <w:footnote w:id="60">
    <w:p w:rsidR="003839D0" w:rsidRPr="007447D4" w:rsidRDefault="003839D0" w:rsidP="003839D0">
      <w:pPr>
        <w:pStyle w:val="Textodenotaderodap"/>
        <w:spacing w:after="80"/>
        <w:jc w:val="both"/>
        <w:rPr>
          <w:rFonts w:ascii="Arial" w:hAnsi="Arial" w:cs="Arial"/>
        </w:rPr>
      </w:pPr>
      <w:r w:rsidRPr="007447D4">
        <w:rPr>
          <w:rStyle w:val="Refdenotaderodap"/>
          <w:rFonts w:ascii="Arial" w:hAnsi="Arial" w:cs="Arial"/>
        </w:rPr>
        <w:footnoteRef/>
      </w:r>
      <w:r w:rsidRPr="007447D4">
        <w:rPr>
          <w:rFonts w:ascii="Arial" w:hAnsi="Arial" w:cs="Arial"/>
        </w:rPr>
        <w:t xml:space="preserve"> Idem.</w:t>
      </w:r>
    </w:p>
  </w:footnote>
  <w:footnote w:id="61">
    <w:p w:rsidR="003839D0" w:rsidRPr="00E4006A" w:rsidRDefault="003839D0" w:rsidP="003839D0">
      <w:pPr>
        <w:pStyle w:val="Textodenotaderodap"/>
        <w:spacing w:after="80"/>
        <w:jc w:val="both"/>
        <w:rPr>
          <w:rFonts w:ascii="Arial" w:hAnsi="Arial" w:cs="Arial"/>
        </w:rPr>
      </w:pPr>
      <w:r w:rsidRPr="00E4006A">
        <w:rPr>
          <w:rStyle w:val="Refdenotaderodap"/>
          <w:rFonts w:ascii="Arial" w:hAnsi="Arial" w:cs="Arial"/>
        </w:rPr>
        <w:footnoteRef/>
      </w:r>
      <w:r w:rsidRPr="00E4006A">
        <w:rPr>
          <w:rFonts w:ascii="Arial" w:hAnsi="Arial" w:cs="Arial"/>
        </w:rPr>
        <w:t xml:space="preserve"> COHEN, Joshua. </w:t>
      </w:r>
      <w:proofErr w:type="spellStart"/>
      <w:r w:rsidRPr="00E4006A">
        <w:rPr>
          <w:rFonts w:ascii="Arial" w:hAnsi="Arial" w:cs="Arial"/>
        </w:rPr>
        <w:t>Reflections</w:t>
      </w:r>
      <w:proofErr w:type="spellEnd"/>
      <w:r w:rsidRPr="00E4006A">
        <w:rPr>
          <w:rFonts w:ascii="Arial" w:hAnsi="Arial" w:cs="Arial"/>
        </w:rPr>
        <w:t xml:space="preserve"> </w:t>
      </w:r>
      <w:proofErr w:type="spellStart"/>
      <w:r w:rsidRPr="00E4006A">
        <w:rPr>
          <w:rFonts w:ascii="Arial" w:hAnsi="Arial" w:cs="Arial"/>
        </w:rPr>
        <w:t>on</w:t>
      </w:r>
      <w:proofErr w:type="spellEnd"/>
      <w:r w:rsidRPr="00E4006A">
        <w:rPr>
          <w:rFonts w:ascii="Arial" w:hAnsi="Arial" w:cs="Arial"/>
        </w:rPr>
        <w:t xml:space="preserve"> Habermas </w:t>
      </w:r>
      <w:proofErr w:type="spellStart"/>
      <w:r w:rsidRPr="00E4006A">
        <w:rPr>
          <w:rFonts w:ascii="Arial" w:hAnsi="Arial" w:cs="Arial"/>
        </w:rPr>
        <w:t>on</w:t>
      </w:r>
      <w:proofErr w:type="spellEnd"/>
      <w:r w:rsidRPr="00E4006A">
        <w:rPr>
          <w:rFonts w:ascii="Arial" w:hAnsi="Arial" w:cs="Arial"/>
        </w:rPr>
        <w:t xml:space="preserve"> </w:t>
      </w:r>
      <w:proofErr w:type="spellStart"/>
      <w:r w:rsidRPr="00E4006A">
        <w:rPr>
          <w:rFonts w:ascii="Arial" w:hAnsi="Arial" w:cs="Arial"/>
        </w:rPr>
        <w:t>Democracy</w:t>
      </w:r>
      <w:proofErr w:type="spellEnd"/>
      <w:r w:rsidRPr="00E4006A">
        <w:rPr>
          <w:rFonts w:ascii="Arial" w:hAnsi="Arial" w:cs="Arial"/>
        </w:rPr>
        <w:t xml:space="preserve">. </w:t>
      </w:r>
      <w:proofErr w:type="spellStart"/>
      <w:r w:rsidRPr="00E4006A">
        <w:rPr>
          <w:rFonts w:ascii="Arial" w:hAnsi="Arial" w:cs="Arial"/>
          <w:b/>
        </w:rPr>
        <w:t>Ratio</w:t>
      </w:r>
      <w:proofErr w:type="spellEnd"/>
      <w:r w:rsidRPr="00E4006A">
        <w:rPr>
          <w:rFonts w:ascii="Arial" w:hAnsi="Arial" w:cs="Arial"/>
          <w:b/>
        </w:rPr>
        <w:t xml:space="preserve"> Juris</w:t>
      </w:r>
      <w:r w:rsidRPr="00E4006A">
        <w:rPr>
          <w:rFonts w:ascii="Arial" w:hAnsi="Arial" w:cs="Arial"/>
        </w:rPr>
        <w:t>, v. 12, n. 4, dez., 1999</w:t>
      </w:r>
      <w:r>
        <w:rPr>
          <w:rFonts w:ascii="Arial" w:hAnsi="Arial" w:cs="Arial"/>
        </w:rPr>
        <w:t>.</w:t>
      </w:r>
    </w:p>
  </w:footnote>
  <w:footnote w:id="62">
    <w:p w:rsidR="003839D0" w:rsidRPr="005362F0" w:rsidRDefault="003839D0" w:rsidP="003839D0">
      <w:pPr>
        <w:pStyle w:val="Textodenotaderodap"/>
        <w:spacing w:after="80"/>
        <w:jc w:val="both"/>
        <w:rPr>
          <w:rFonts w:ascii="Arial" w:hAnsi="Arial" w:cs="Arial"/>
        </w:rPr>
      </w:pPr>
      <w:r w:rsidRPr="005362F0">
        <w:rPr>
          <w:rStyle w:val="Refdenotaderodap"/>
          <w:rFonts w:ascii="Arial" w:hAnsi="Arial" w:cs="Arial"/>
        </w:rPr>
        <w:footnoteRef/>
      </w:r>
      <w:r w:rsidRPr="005362F0">
        <w:rPr>
          <w:rFonts w:ascii="Arial" w:hAnsi="Arial" w:cs="Arial"/>
        </w:rPr>
        <w:t xml:space="preserve"> SENNETT, Richard. </w:t>
      </w:r>
      <w:r w:rsidRPr="005362F0">
        <w:rPr>
          <w:rFonts w:ascii="Arial" w:hAnsi="Arial" w:cs="Arial"/>
          <w:b/>
        </w:rPr>
        <w:t>Autoridade</w:t>
      </w:r>
      <w:r w:rsidRPr="005362F0">
        <w:rPr>
          <w:rFonts w:ascii="Arial" w:hAnsi="Arial" w:cs="Arial"/>
        </w:rPr>
        <w:t xml:space="preserve">. Tradução Vera Ribeiro. Rio de Janeiro: </w:t>
      </w:r>
      <w:proofErr w:type="gramStart"/>
      <w:r w:rsidRPr="005362F0">
        <w:rPr>
          <w:rFonts w:ascii="Arial" w:hAnsi="Arial" w:cs="Arial"/>
        </w:rPr>
        <w:t>Record</w:t>
      </w:r>
      <w:proofErr w:type="gramEnd"/>
      <w:r w:rsidRPr="005362F0">
        <w:rPr>
          <w:rFonts w:ascii="Arial" w:hAnsi="Arial" w:cs="Arial"/>
        </w:rPr>
        <w:t>, 2001, p. 144.</w:t>
      </w:r>
    </w:p>
  </w:footnote>
  <w:footnote w:id="63">
    <w:p w:rsidR="003839D0" w:rsidRPr="003839D0" w:rsidRDefault="003839D0" w:rsidP="003839D0">
      <w:pPr>
        <w:pStyle w:val="Textodenotaderodap"/>
        <w:spacing w:after="80"/>
        <w:jc w:val="both"/>
        <w:rPr>
          <w:rFonts w:ascii="Arial" w:hAnsi="Arial" w:cs="Arial"/>
          <w:lang w:val="en-US"/>
        </w:rPr>
      </w:pPr>
      <w:r w:rsidRPr="00B40EF3">
        <w:rPr>
          <w:rStyle w:val="Refdenotaderodap"/>
          <w:rFonts w:ascii="Arial" w:hAnsi="Arial" w:cs="Arial"/>
        </w:rPr>
        <w:footnoteRef/>
      </w:r>
      <w:r w:rsidRPr="00B40EF3">
        <w:rPr>
          <w:rFonts w:ascii="Arial" w:hAnsi="Arial" w:cs="Arial"/>
        </w:rPr>
        <w:t xml:space="preserve"> Compreende-se por autoridade </w:t>
      </w:r>
      <w:r>
        <w:rPr>
          <w:rFonts w:ascii="Arial" w:hAnsi="Arial" w:cs="Arial"/>
        </w:rPr>
        <w:t xml:space="preserve">uma </w:t>
      </w:r>
      <w:r w:rsidRPr="00B40EF3">
        <w:rPr>
          <w:rFonts w:ascii="Arial" w:hAnsi="Arial" w:cs="Arial"/>
        </w:rPr>
        <w:t>condição de poder, de controle e influência, definido numa imagem de força</w:t>
      </w:r>
      <w:r>
        <w:rPr>
          <w:rFonts w:ascii="Arial" w:hAnsi="Arial" w:cs="Arial"/>
        </w:rPr>
        <w:t xml:space="preserve">. </w:t>
      </w:r>
      <w:r w:rsidRPr="003839D0">
        <w:rPr>
          <w:rFonts w:ascii="Arial" w:hAnsi="Arial" w:cs="Arial"/>
          <w:lang w:val="en-US"/>
        </w:rPr>
        <w:t xml:space="preserve">In: SENNETT, Richard. </w:t>
      </w:r>
      <w:r w:rsidRPr="003839D0">
        <w:rPr>
          <w:rFonts w:ascii="Arial" w:hAnsi="Arial" w:cs="Arial"/>
          <w:b/>
          <w:lang w:val="en-US"/>
        </w:rPr>
        <w:t>Autoridade</w:t>
      </w:r>
      <w:r w:rsidRPr="003839D0">
        <w:rPr>
          <w:rFonts w:ascii="Arial" w:hAnsi="Arial" w:cs="Arial"/>
          <w:lang w:val="en-US"/>
        </w:rPr>
        <w:t xml:space="preserve">. </w:t>
      </w:r>
      <w:r>
        <w:rPr>
          <w:rFonts w:ascii="Arial" w:hAnsi="Arial" w:cs="Arial"/>
          <w:lang w:val="en-US"/>
        </w:rPr>
        <w:t>Op. cit</w:t>
      </w:r>
      <w:r w:rsidRPr="00897C5E">
        <w:rPr>
          <w:rFonts w:ascii="Arial" w:hAnsi="Arial" w:cs="Arial"/>
          <w:lang w:val="en-US"/>
        </w:rPr>
        <w:t>.</w:t>
      </w:r>
    </w:p>
  </w:footnote>
  <w:footnote w:id="64">
    <w:p w:rsidR="003839D0" w:rsidRPr="003839D0" w:rsidRDefault="003839D0" w:rsidP="003839D0">
      <w:pPr>
        <w:pStyle w:val="Textodenotaderodap"/>
        <w:spacing w:after="80"/>
        <w:jc w:val="both"/>
        <w:rPr>
          <w:rFonts w:ascii="Arial" w:hAnsi="Arial" w:cs="Arial"/>
          <w:lang w:val="en-US"/>
        </w:rPr>
      </w:pPr>
      <w:r w:rsidRPr="00897C5E">
        <w:rPr>
          <w:rStyle w:val="Refdenotaderodap"/>
          <w:rFonts w:ascii="Arial" w:hAnsi="Arial" w:cs="Arial"/>
        </w:rPr>
        <w:footnoteRef/>
      </w:r>
      <w:r w:rsidRPr="00897C5E">
        <w:rPr>
          <w:rFonts w:ascii="Arial" w:hAnsi="Arial" w:cs="Arial"/>
          <w:lang w:val="en-US"/>
        </w:rPr>
        <w:t xml:space="preserve"> </w:t>
      </w:r>
      <w:r w:rsidRPr="003839D0">
        <w:rPr>
          <w:rFonts w:ascii="Arial" w:hAnsi="Arial" w:cs="Arial"/>
          <w:lang w:val="en-US"/>
        </w:rPr>
        <w:t xml:space="preserve">SENNETT, Richard. </w:t>
      </w:r>
      <w:r w:rsidRPr="003839D0">
        <w:rPr>
          <w:rFonts w:ascii="Arial" w:hAnsi="Arial" w:cs="Arial"/>
          <w:b/>
          <w:lang w:val="en-US"/>
        </w:rPr>
        <w:t>Autoridade</w:t>
      </w:r>
      <w:r w:rsidRPr="003839D0">
        <w:rPr>
          <w:rFonts w:ascii="Arial" w:hAnsi="Arial" w:cs="Arial"/>
          <w:lang w:val="en-US"/>
        </w:rPr>
        <w:t xml:space="preserve">. </w:t>
      </w:r>
      <w:r w:rsidRPr="00897C5E">
        <w:rPr>
          <w:rFonts w:ascii="Arial" w:hAnsi="Arial" w:cs="Arial"/>
          <w:lang w:val="en-US"/>
        </w:rPr>
        <w:t>Op. cit., p. 157.</w:t>
      </w:r>
    </w:p>
  </w:footnote>
  <w:footnote w:id="65">
    <w:p w:rsidR="003839D0" w:rsidRPr="00897C5E" w:rsidRDefault="003839D0" w:rsidP="003839D0">
      <w:pPr>
        <w:pStyle w:val="Textodenotaderodap"/>
        <w:spacing w:after="80"/>
        <w:jc w:val="both"/>
        <w:rPr>
          <w:rFonts w:ascii="Arial" w:hAnsi="Arial" w:cs="Arial"/>
        </w:rPr>
      </w:pPr>
      <w:r w:rsidRPr="00897C5E">
        <w:rPr>
          <w:rStyle w:val="Refdenotaderodap"/>
          <w:rFonts w:ascii="Arial" w:hAnsi="Arial" w:cs="Arial"/>
        </w:rPr>
        <w:footnoteRef/>
      </w:r>
      <w:r w:rsidRPr="003839D0">
        <w:rPr>
          <w:rFonts w:ascii="Arial" w:hAnsi="Arial" w:cs="Arial"/>
        </w:rPr>
        <w:t xml:space="preserve"> </w:t>
      </w:r>
      <w:r w:rsidRPr="00897C5E">
        <w:rPr>
          <w:rFonts w:ascii="Arial" w:hAnsi="Arial" w:cs="Arial"/>
        </w:rPr>
        <w:t>Ibidem, p. 13.</w:t>
      </w:r>
    </w:p>
  </w:footnote>
  <w:footnote w:id="66">
    <w:p w:rsidR="003839D0" w:rsidRPr="00785D88" w:rsidRDefault="003839D0" w:rsidP="003839D0">
      <w:pPr>
        <w:pStyle w:val="Textodenotaderodap"/>
        <w:spacing w:after="80"/>
        <w:jc w:val="both"/>
        <w:rPr>
          <w:rFonts w:ascii="Arial" w:hAnsi="Arial" w:cs="Arial"/>
        </w:rPr>
      </w:pPr>
      <w:r w:rsidRPr="00785D88">
        <w:rPr>
          <w:rStyle w:val="Refdenotaderodap"/>
          <w:rFonts w:ascii="Arial" w:hAnsi="Arial" w:cs="Arial"/>
        </w:rPr>
        <w:footnoteRef/>
      </w:r>
      <w:r w:rsidRPr="00785D88">
        <w:rPr>
          <w:rFonts w:ascii="Arial" w:hAnsi="Arial" w:cs="Arial"/>
        </w:rPr>
        <w:t xml:space="preserve"> Ibidem, p. 30.</w:t>
      </w:r>
    </w:p>
  </w:footnote>
  <w:footnote w:id="67">
    <w:p w:rsidR="003839D0" w:rsidRDefault="003839D0" w:rsidP="003839D0">
      <w:pPr>
        <w:pStyle w:val="Textodenotaderodap"/>
        <w:spacing w:after="80"/>
        <w:jc w:val="both"/>
      </w:pPr>
      <w:r w:rsidRPr="00785D88">
        <w:rPr>
          <w:rStyle w:val="Refdenotaderodap"/>
          <w:rFonts w:ascii="Arial" w:hAnsi="Arial" w:cs="Arial"/>
        </w:rPr>
        <w:footnoteRef/>
      </w:r>
      <w:r w:rsidRPr="00785D88">
        <w:rPr>
          <w:rFonts w:ascii="Arial" w:hAnsi="Arial" w:cs="Arial"/>
        </w:rPr>
        <w:t xml:space="preserve"> Ibidem, p.42.</w:t>
      </w:r>
    </w:p>
  </w:footnote>
  <w:footnote w:id="68">
    <w:p w:rsidR="003839D0" w:rsidRPr="00C474C4" w:rsidRDefault="003839D0" w:rsidP="003839D0">
      <w:pPr>
        <w:pStyle w:val="Textodenotaderodap"/>
        <w:spacing w:after="80"/>
        <w:jc w:val="both"/>
        <w:rPr>
          <w:rFonts w:ascii="Arial" w:hAnsi="Arial" w:cs="Arial"/>
        </w:rPr>
      </w:pPr>
      <w:r w:rsidRPr="00C474C4">
        <w:rPr>
          <w:rStyle w:val="Refdenotaderodap"/>
          <w:rFonts w:ascii="Arial" w:hAnsi="Arial" w:cs="Arial"/>
        </w:rPr>
        <w:footnoteRef/>
      </w:r>
      <w:r w:rsidRPr="00C474C4">
        <w:rPr>
          <w:rFonts w:ascii="Arial" w:hAnsi="Arial" w:cs="Arial"/>
        </w:rPr>
        <w:t xml:space="preserve"> HABERMAS, Jürgen. </w:t>
      </w:r>
      <w:r w:rsidRPr="00C474C4">
        <w:rPr>
          <w:rFonts w:ascii="Arial" w:hAnsi="Arial" w:cs="Arial"/>
          <w:b/>
        </w:rPr>
        <w:t>Direito e Democracia</w:t>
      </w:r>
      <w:r w:rsidRPr="00C474C4">
        <w:rPr>
          <w:rFonts w:ascii="Arial" w:hAnsi="Arial" w:cs="Arial"/>
        </w:rPr>
        <w:t xml:space="preserve">: entre facticidade e validade. </w:t>
      </w:r>
      <w:proofErr w:type="gramStart"/>
      <w:r w:rsidRPr="00C474C4">
        <w:rPr>
          <w:rFonts w:ascii="Arial" w:hAnsi="Arial" w:cs="Arial"/>
        </w:rPr>
        <w:t>v.</w:t>
      </w:r>
      <w:proofErr w:type="gramEnd"/>
      <w:r w:rsidRPr="00C474C4">
        <w:rPr>
          <w:rFonts w:ascii="Arial" w:hAnsi="Arial" w:cs="Arial"/>
        </w:rPr>
        <w:t xml:space="preserve"> 1. Tradução Flávio </w:t>
      </w:r>
      <w:proofErr w:type="spellStart"/>
      <w:r w:rsidRPr="00C474C4">
        <w:rPr>
          <w:rFonts w:ascii="Arial" w:hAnsi="Arial" w:cs="Arial"/>
        </w:rPr>
        <w:t>Beno</w:t>
      </w:r>
      <w:proofErr w:type="spellEnd"/>
      <w:r w:rsidRPr="00C474C4">
        <w:rPr>
          <w:rFonts w:ascii="Arial" w:hAnsi="Arial" w:cs="Arial"/>
        </w:rPr>
        <w:t xml:space="preserve"> </w:t>
      </w:r>
      <w:proofErr w:type="spellStart"/>
      <w:r w:rsidRPr="00C474C4">
        <w:rPr>
          <w:rFonts w:ascii="Arial" w:hAnsi="Arial" w:cs="Arial"/>
        </w:rPr>
        <w:t>Siebeneichler</w:t>
      </w:r>
      <w:proofErr w:type="spellEnd"/>
      <w:r w:rsidRPr="00C474C4">
        <w:rPr>
          <w:rFonts w:ascii="Arial" w:hAnsi="Arial" w:cs="Arial"/>
        </w:rPr>
        <w:t>. Rio de Janeiro: Tempo Brasileiro, 2003, p. 42.</w:t>
      </w:r>
    </w:p>
  </w:footnote>
  <w:footnote w:id="69">
    <w:p w:rsidR="003839D0" w:rsidRDefault="003839D0" w:rsidP="003839D0">
      <w:pPr>
        <w:pStyle w:val="Textodenotaderodap"/>
        <w:spacing w:after="80"/>
        <w:jc w:val="both"/>
      </w:pPr>
      <w:r w:rsidRPr="00C474C4">
        <w:rPr>
          <w:rStyle w:val="Refdenotaderodap"/>
          <w:rFonts w:ascii="Arial" w:hAnsi="Arial" w:cs="Arial"/>
        </w:rPr>
        <w:footnoteRef/>
      </w:r>
      <w:r w:rsidRPr="00C474C4">
        <w:rPr>
          <w:rFonts w:ascii="Arial" w:hAnsi="Arial" w:cs="Arial"/>
        </w:rPr>
        <w:t xml:space="preserve"> Ibidem, p. 42-3.</w:t>
      </w:r>
    </w:p>
  </w:footnote>
  <w:footnote w:id="70">
    <w:p w:rsidR="003839D0" w:rsidRPr="00943758" w:rsidRDefault="003839D0" w:rsidP="003839D0">
      <w:pPr>
        <w:pStyle w:val="Textodenotaderodap"/>
        <w:jc w:val="both"/>
        <w:rPr>
          <w:rFonts w:ascii="Arial" w:hAnsi="Arial" w:cs="Arial"/>
        </w:rPr>
      </w:pPr>
      <w:r w:rsidRPr="00943758">
        <w:rPr>
          <w:rStyle w:val="Refdenotaderodap"/>
          <w:rFonts w:ascii="Arial" w:hAnsi="Arial" w:cs="Arial"/>
        </w:rPr>
        <w:footnoteRef/>
      </w:r>
      <w:r w:rsidRPr="00943758">
        <w:rPr>
          <w:rFonts w:ascii="Arial" w:hAnsi="Arial" w:cs="Arial"/>
        </w:rPr>
        <w:t xml:space="preserve"> </w:t>
      </w:r>
      <w:r w:rsidRPr="00FA3ADA">
        <w:rPr>
          <w:rFonts w:ascii="Arial" w:hAnsi="Arial" w:cs="Arial"/>
        </w:rPr>
        <w:t xml:space="preserve">“Agora sem pai, tens que lidar com a lembrança de um pai. Muita vez, essa lembrança é mais poderosa que a presença viva de </w:t>
      </w:r>
      <w:proofErr w:type="gramStart"/>
      <w:r w:rsidRPr="00FA3ADA">
        <w:rPr>
          <w:rFonts w:ascii="Arial" w:hAnsi="Arial" w:cs="Arial"/>
        </w:rPr>
        <w:t>uma pai</w:t>
      </w:r>
      <w:proofErr w:type="gramEnd"/>
      <w:r w:rsidRPr="00FA3ADA">
        <w:rPr>
          <w:rFonts w:ascii="Arial" w:hAnsi="Arial" w:cs="Arial"/>
        </w:rPr>
        <w:t>, é uma voz interna a ordenar e arengar, dizendo sim e não – um código binário, sim não sim não sim não, a reger cada um de teus menores movimentos, mentais ou físicos. Em que momento te transformas em ti mesmo? Nunca por inteiro: és sempre ele, em parte. Essa posição privilegiada em te</w:t>
      </w:r>
      <w:r>
        <w:rPr>
          <w:rFonts w:ascii="Arial" w:hAnsi="Arial" w:cs="Arial"/>
        </w:rPr>
        <w:t>u ouvido interior é sua última ‘</w:t>
      </w:r>
      <w:r w:rsidRPr="00FA3ADA">
        <w:rPr>
          <w:rFonts w:ascii="Arial" w:hAnsi="Arial" w:cs="Arial"/>
        </w:rPr>
        <w:t>prerrogativa</w:t>
      </w:r>
      <w:r>
        <w:rPr>
          <w:rFonts w:ascii="Arial" w:hAnsi="Arial" w:cs="Arial"/>
        </w:rPr>
        <w:t>’</w:t>
      </w:r>
      <w:r w:rsidRPr="00FA3ADA">
        <w:rPr>
          <w:rFonts w:ascii="Arial" w:hAnsi="Arial" w:cs="Arial"/>
        </w:rPr>
        <w:t>, e nenhum pai jamais a desprezou</w:t>
      </w:r>
      <w:r>
        <w:rPr>
          <w:rFonts w:ascii="Arial" w:hAnsi="Arial" w:cs="Arial"/>
        </w:rPr>
        <w:t>”</w:t>
      </w:r>
      <w:r w:rsidRPr="00FA3ADA">
        <w:rPr>
          <w:rFonts w:ascii="Arial" w:hAnsi="Arial" w:cs="Arial"/>
        </w:rPr>
        <w:t>.</w:t>
      </w:r>
      <w:r>
        <w:rPr>
          <w:rFonts w:ascii="Arial" w:hAnsi="Arial" w:cs="Arial"/>
        </w:rPr>
        <w:t xml:space="preserve"> O pai morto, do contista Donald </w:t>
      </w:r>
      <w:proofErr w:type="spellStart"/>
      <w:r>
        <w:rPr>
          <w:rFonts w:ascii="Arial" w:hAnsi="Arial" w:cs="Arial"/>
        </w:rPr>
        <w:t>Barthelme</w:t>
      </w:r>
      <w:proofErr w:type="spellEnd"/>
      <w:r>
        <w:rPr>
          <w:rFonts w:ascii="Arial" w:hAnsi="Arial" w:cs="Arial"/>
        </w:rPr>
        <w:t xml:space="preserve">. </w:t>
      </w:r>
      <w:proofErr w:type="spellStart"/>
      <w:proofErr w:type="gramStart"/>
      <w:r>
        <w:rPr>
          <w:rFonts w:ascii="Arial" w:hAnsi="Arial" w:cs="Arial"/>
        </w:rPr>
        <w:t>In.</w:t>
      </w:r>
      <w:proofErr w:type="gramEnd"/>
      <w:r w:rsidRPr="00897C5E">
        <w:rPr>
          <w:rFonts w:ascii="Arial" w:hAnsi="Arial" w:cs="Arial"/>
        </w:rPr>
        <w:t>SENNETT</w:t>
      </w:r>
      <w:proofErr w:type="spellEnd"/>
      <w:r w:rsidRPr="00897C5E">
        <w:rPr>
          <w:rFonts w:ascii="Arial" w:hAnsi="Arial" w:cs="Arial"/>
        </w:rPr>
        <w:t xml:space="preserve">, Richard. </w:t>
      </w:r>
      <w:r w:rsidRPr="00897C5E">
        <w:rPr>
          <w:rFonts w:ascii="Arial" w:hAnsi="Arial" w:cs="Arial"/>
          <w:b/>
        </w:rPr>
        <w:t>Autoridade</w:t>
      </w:r>
      <w:r w:rsidRPr="00897C5E">
        <w:rPr>
          <w:rFonts w:ascii="Arial" w:hAnsi="Arial" w:cs="Arial"/>
        </w:rPr>
        <w:t xml:space="preserve">. </w:t>
      </w:r>
      <w:r w:rsidRPr="00897C5E">
        <w:rPr>
          <w:rFonts w:ascii="Arial" w:hAnsi="Arial" w:cs="Arial"/>
          <w:lang w:val="en-US"/>
        </w:rPr>
        <w:t xml:space="preserve">Op. cit., p. </w:t>
      </w:r>
      <w:r>
        <w:rPr>
          <w:rFonts w:ascii="Arial" w:hAnsi="Arial" w:cs="Arial"/>
          <w:lang w:val="en-US"/>
        </w:rPr>
        <w:t>27</w:t>
      </w:r>
      <w:r w:rsidRPr="00897C5E">
        <w:rPr>
          <w:rFonts w:ascii="Arial" w:hAnsi="Arial" w:cs="Arial"/>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68"/>
    <w:rsid w:val="00135478"/>
    <w:rsid w:val="001F749F"/>
    <w:rsid w:val="003839D0"/>
    <w:rsid w:val="00383F68"/>
    <w:rsid w:val="00521017"/>
    <w:rsid w:val="00A621FB"/>
    <w:rsid w:val="00D62201"/>
    <w:rsid w:val="00F24C8B"/>
    <w:rsid w:val="00F86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uiPriority w:val="99"/>
    <w:rsid w:val="00383F68"/>
    <w:rPr>
      <w:sz w:val="20"/>
      <w:szCs w:val="20"/>
    </w:rPr>
  </w:style>
  <w:style w:type="character" w:customStyle="1" w:styleId="TextodenotaderodapChar">
    <w:name w:val="Texto de nota de rodapé Char"/>
    <w:basedOn w:val="Fontepargpadro"/>
    <w:uiPriority w:val="99"/>
    <w:rsid w:val="00383F68"/>
    <w:rPr>
      <w:rFonts w:ascii="Times New Roman" w:eastAsia="Times New Roman" w:hAnsi="Times New Roman" w:cs="Times New Roman"/>
      <w:sz w:val="20"/>
      <w:szCs w:val="20"/>
      <w:lang w:eastAsia="pt-BR"/>
    </w:rPr>
  </w:style>
  <w:style w:type="character" w:styleId="Refdenotaderodap">
    <w:name w:val="footnote reference"/>
    <w:uiPriority w:val="99"/>
    <w:rsid w:val="00383F68"/>
    <w:rPr>
      <w:vertAlign w:val="superscript"/>
    </w:rPr>
  </w:style>
  <w:style w:type="character" w:customStyle="1" w:styleId="TextodenotaderodapChar1">
    <w:name w:val="Texto de nota de rodapé Char1"/>
    <w:basedOn w:val="Fontepargpadro"/>
    <w:link w:val="Textodenotaderodap"/>
    <w:locked/>
    <w:rsid w:val="00383F68"/>
    <w:rPr>
      <w:rFonts w:ascii="Times New Roman" w:eastAsia="Times New Roman" w:hAnsi="Times New Roman" w:cs="Times New Roman"/>
      <w:sz w:val="20"/>
      <w:szCs w:val="20"/>
      <w:lang w:eastAsia="pt-BR"/>
    </w:rPr>
  </w:style>
  <w:style w:type="character" w:styleId="Hyperlink">
    <w:name w:val="Hyperlink"/>
    <w:basedOn w:val="Fontepargpadro"/>
    <w:rsid w:val="00383F68"/>
    <w:rPr>
      <w:color w:val="0000FF"/>
      <w:u w:val="single"/>
    </w:rPr>
  </w:style>
  <w:style w:type="paragraph" w:customStyle="1" w:styleId="Default">
    <w:name w:val="Default"/>
    <w:rsid w:val="003839D0"/>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uiPriority w:val="99"/>
    <w:rsid w:val="00383F68"/>
    <w:rPr>
      <w:sz w:val="20"/>
      <w:szCs w:val="20"/>
    </w:rPr>
  </w:style>
  <w:style w:type="character" w:customStyle="1" w:styleId="TextodenotaderodapChar">
    <w:name w:val="Texto de nota de rodapé Char"/>
    <w:basedOn w:val="Fontepargpadro"/>
    <w:uiPriority w:val="99"/>
    <w:rsid w:val="00383F68"/>
    <w:rPr>
      <w:rFonts w:ascii="Times New Roman" w:eastAsia="Times New Roman" w:hAnsi="Times New Roman" w:cs="Times New Roman"/>
      <w:sz w:val="20"/>
      <w:szCs w:val="20"/>
      <w:lang w:eastAsia="pt-BR"/>
    </w:rPr>
  </w:style>
  <w:style w:type="character" w:styleId="Refdenotaderodap">
    <w:name w:val="footnote reference"/>
    <w:uiPriority w:val="99"/>
    <w:rsid w:val="00383F68"/>
    <w:rPr>
      <w:vertAlign w:val="superscript"/>
    </w:rPr>
  </w:style>
  <w:style w:type="character" w:customStyle="1" w:styleId="TextodenotaderodapChar1">
    <w:name w:val="Texto de nota de rodapé Char1"/>
    <w:basedOn w:val="Fontepargpadro"/>
    <w:link w:val="Textodenotaderodap"/>
    <w:locked/>
    <w:rsid w:val="00383F68"/>
    <w:rPr>
      <w:rFonts w:ascii="Times New Roman" w:eastAsia="Times New Roman" w:hAnsi="Times New Roman" w:cs="Times New Roman"/>
      <w:sz w:val="20"/>
      <w:szCs w:val="20"/>
      <w:lang w:eastAsia="pt-BR"/>
    </w:rPr>
  </w:style>
  <w:style w:type="character" w:styleId="Hyperlink">
    <w:name w:val="Hyperlink"/>
    <w:basedOn w:val="Fontepargpadro"/>
    <w:rsid w:val="00383F68"/>
    <w:rPr>
      <w:color w:val="0000FF"/>
      <w:u w:val="single"/>
    </w:rPr>
  </w:style>
  <w:style w:type="paragraph" w:customStyle="1" w:styleId="Default">
    <w:name w:val="Default"/>
    <w:rsid w:val="003839D0"/>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120673">
      <w:bodyDiv w:val="1"/>
      <w:marLeft w:val="0"/>
      <w:marRight w:val="0"/>
      <w:marTop w:val="0"/>
      <w:marBottom w:val="0"/>
      <w:divBdr>
        <w:top w:val="none" w:sz="0" w:space="0" w:color="auto"/>
        <w:left w:val="none" w:sz="0" w:space="0" w:color="auto"/>
        <w:bottom w:val="none" w:sz="0" w:space="0" w:color="auto"/>
        <w:right w:val="none" w:sz="0" w:space="0" w:color="auto"/>
      </w:divBdr>
    </w:div>
    <w:div w:id="192881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Declara%C3%A7%C3%A3o_Universal_dos_Direitos_Human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t.wikipedia.org/wiki/Democrac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ab.org.br/editora/revista/users/revista/1205505974174218181901.pdf" TargetMode="External"/><Relationship Id="rId2" Type="http://schemas.openxmlformats.org/officeDocument/2006/relationships/hyperlink" Target="http://lattes" TargetMode="External"/><Relationship Id="rId1" Type="http://schemas.openxmlformats.org/officeDocument/2006/relationships/hyperlink" Target="mailto:diegonogueira@ufpr.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97BD-D5EA-4369-A9ED-42FDCC6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6150</Words>
  <Characters>33210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Tribunal de Justiça do Estado do Paraná</Company>
  <LinksUpToDate>false</LinksUpToDate>
  <CharactersWithSpaces>39282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Nogueira</dc:creator>
  <cp:lastModifiedBy>Usuário do Windows</cp:lastModifiedBy>
  <cp:revision>2</cp:revision>
  <dcterms:created xsi:type="dcterms:W3CDTF">2013-11-20T16:38:00Z</dcterms:created>
  <dcterms:modified xsi:type="dcterms:W3CDTF">2013-11-20T16:38:00Z</dcterms:modified>
</cp:coreProperties>
</file>