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83" w:rsidRPr="00AF4D13" w:rsidRDefault="00E27783" w:rsidP="00E27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4D13">
        <w:rPr>
          <w:rFonts w:ascii="Arial" w:hAnsi="Arial" w:cs="Arial"/>
          <w:b/>
          <w:sz w:val="24"/>
          <w:szCs w:val="24"/>
        </w:rPr>
        <w:t>Tabela 4 – População por município na Microrregião de Francisco Beltrão</w:t>
      </w:r>
    </w:p>
    <w:tbl>
      <w:tblPr>
        <w:tblW w:w="8790" w:type="dxa"/>
        <w:jc w:val="center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8"/>
        <w:gridCol w:w="1700"/>
        <w:gridCol w:w="1701"/>
        <w:gridCol w:w="1701"/>
      </w:tblGrid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Município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População 2010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População 2016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Crescimento %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Barracão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9.735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10.273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+5,23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Boa Esperança do Iguaçu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2.764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2.694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-2,59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Bom Jesus do Sul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3.796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3.755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-1,09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Cruzeiro do Iguaçu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4.278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4.373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+2,17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Dois Vizinhos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36.179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39.500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+8,40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Enéas Marques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6.103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6.182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+1,27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Flor da Serra do Sul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4.726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4.792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+1,37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Francisco Beltrão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78.943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87.491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+9,77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4D13">
              <w:rPr>
                <w:rFonts w:ascii="Arial" w:hAnsi="Arial" w:cs="Arial"/>
                <w:sz w:val="24"/>
                <w:szCs w:val="24"/>
              </w:rPr>
              <w:t>Manfrinópolis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3.127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2.907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-7,56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Marmeleiro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13.900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14.505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+4,17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Nova Esperança do Sudoeste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5.098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5.200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+1,96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Nova Prata do Iguaçu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10.377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10.733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+3,31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Pinhal de São Bento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2.625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2.749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+4,51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Renascença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6.812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6.981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+2,42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Salgado Filho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4.403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4.072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-8,12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 xml:space="preserve">Salto </w:t>
            </w:r>
            <w:proofErr w:type="gramStart"/>
            <w:r w:rsidRPr="00AF4D13">
              <w:rPr>
                <w:rFonts w:ascii="Arial" w:hAnsi="Arial" w:cs="Arial"/>
                <w:sz w:val="24"/>
                <w:szCs w:val="24"/>
              </w:rPr>
              <w:t>do Lontra</w:t>
            </w:r>
            <w:proofErr w:type="gramEnd"/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13.689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14.627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+6,41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Santo Antônio do Sudoeste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18.893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20.059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+5,81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São Jorge D’Oeste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9.085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9.296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+2,26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4D13">
              <w:rPr>
                <w:rFonts w:ascii="Arial" w:hAnsi="Arial" w:cs="Arial"/>
                <w:sz w:val="24"/>
                <w:szCs w:val="24"/>
              </w:rPr>
              <w:t>Verê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7.878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7.745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-1,71</w:t>
            </w:r>
          </w:p>
        </w:tc>
      </w:tr>
      <w:tr w:rsidR="00E27783" w:rsidRPr="00AF4D13" w:rsidTr="002C7C08">
        <w:trPr>
          <w:jc w:val="center"/>
        </w:trPr>
        <w:tc>
          <w:tcPr>
            <w:tcW w:w="3688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700" w:type="dxa"/>
            <w:shd w:val="clear" w:color="auto" w:fill="auto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242.411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257.934</w:t>
            </w:r>
          </w:p>
        </w:tc>
        <w:tc>
          <w:tcPr>
            <w:tcW w:w="1701" w:type="dxa"/>
          </w:tcPr>
          <w:p w:rsidR="00E27783" w:rsidRPr="00AF4D13" w:rsidRDefault="00E27783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+6,02</w:t>
            </w:r>
          </w:p>
        </w:tc>
      </w:tr>
    </w:tbl>
    <w:p w:rsidR="00E27783" w:rsidRPr="00AF4D13" w:rsidRDefault="00E27783" w:rsidP="00E277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4D13">
        <w:rPr>
          <w:rFonts w:ascii="Arial" w:hAnsi="Arial" w:cs="Arial"/>
          <w:sz w:val="20"/>
          <w:szCs w:val="20"/>
        </w:rPr>
        <w:t>Fonte: IBGE.</w:t>
      </w:r>
    </w:p>
    <w:p w:rsidR="000F0226" w:rsidRDefault="000F0226"/>
    <w:sectPr w:rsidR="000F0226" w:rsidSect="000F0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7783"/>
    <w:rsid w:val="000F0226"/>
    <w:rsid w:val="00E2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8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2018-02-12T20:36:00Z</dcterms:created>
  <dcterms:modified xsi:type="dcterms:W3CDTF">2018-02-12T20:36:00Z</dcterms:modified>
</cp:coreProperties>
</file>